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pPr>
      <w:bookmarkStart w:id="0" w:name="_GoBack"/>
      <w:bookmarkEnd w:id="0"/>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eastAsia="zh-CN"/>
        </w:rPr>
      </w:pPr>
    </w:p>
    <w:p>
      <w:pPr>
        <w:pStyle w:val="10"/>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9"/>
          <w:rFonts w:hint="eastAsia" w:ascii="方正小标宋_GBK" w:hAnsi="方正小标宋_GBK" w:eastAsia="方正小标宋_GBK" w:cs="方正小标宋_GBK"/>
          <w:b w:val="0"/>
          <w:kern w:val="2"/>
          <w:sz w:val="44"/>
          <w:szCs w:val="44"/>
          <w:shd w:val="clear" w:color="auto" w:fill="FFFFFF"/>
          <w:lang w:val="en-US" w:eastAsia="zh-CN" w:bidi="ar-SA"/>
        </w:rPr>
      </w:pPr>
      <w:r>
        <w:rPr>
          <w:rStyle w:val="9"/>
          <w:rFonts w:hint="eastAsia" w:ascii="方正小标宋_GBK" w:hAnsi="方正小标宋_GBK" w:eastAsia="方正小标宋_GBK" w:cs="方正小标宋_GBK"/>
          <w:b w:val="0"/>
          <w:kern w:val="2"/>
          <w:sz w:val="44"/>
          <w:szCs w:val="44"/>
          <w:shd w:val="clear" w:color="auto" w:fill="FFFFFF"/>
          <w:lang w:val="en-US" w:eastAsia="zh-CN" w:bidi="ar-SA"/>
        </w:rPr>
        <w:t>亳州市安全生产委员会关于印发</w:t>
      </w:r>
    </w:p>
    <w:p>
      <w:pPr>
        <w:keepNext w:val="0"/>
        <w:keepLines w:val="0"/>
        <w:pageBreakBefore w:val="0"/>
        <w:widowControl w:val="0"/>
        <w:kinsoku/>
        <w:wordWrap/>
        <w:overflowPunct/>
        <w:topLinePunct w:val="0"/>
        <w:autoSpaceDE w:val="0"/>
        <w:autoSpaceDN w:val="0"/>
        <w:bidi w:val="0"/>
        <w:spacing w:line="560" w:lineRule="exact"/>
        <w:ind w:firstLine="0"/>
        <w:jc w:val="center"/>
        <w:textAlignment w:val="auto"/>
        <w:rPr>
          <w:rFonts w:hint="default"/>
          <w:lang w:val="en-US"/>
        </w:rPr>
      </w:pPr>
      <w:r>
        <w:rPr>
          <w:rStyle w:val="9"/>
          <w:rFonts w:hint="eastAsia" w:ascii="方正小标宋_GBK" w:hAnsi="方正小标宋_GBK" w:eastAsia="方正小标宋_GBK" w:cs="方正小标宋_GBK"/>
          <w:b w:val="0"/>
          <w:kern w:val="2"/>
          <w:sz w:val="44"/>
          <w:szCs w:val="44"/>
          <w:shd w:val="clear" w:color="auto" w:fill="FFFFFF"/>
          <w:lang w:val="en-US" w:eastAsia="zh-CN" w:bidi="ar-SA"/>
        </w:rPr>
        <w:t>《</w:t>
      </w:r>
      <w:r>
        <w:rPr>
          <w:rFonts w:hint="eastAsia" w:ascii="方正小标宋简体" w:hAnsi="方正小标宋简体" w:eastAsia="方正小标宋简体" w:cs="方正小标宋简体"/>
          <w:bCs/>
          <w:color w:val="auto"/>
          <w:sz w:val="44"/>
          <w:szCs w:val="22"/>
        </w:rPr>
        <w:t>亳州市安全生产红黄牌警示制度</w:t>
      </w:r>
      <w:r>
        <w:rPr>
          <w:rStyle w:val="9"/>
          <w:rFonts w:hint="eastAsia" w:ascii="方正小标宋_GBK" w:hAnsi="方正小标宋_GBK" w:eastAsia="方正小标宋_GBK" w:cs="方正小标宋_GBK"/>
          <w:b w:val="0"/>
          <w:kern w:val="2"/>
          <w:sz w:val="44"/>
          <w:szCs w:val="44"/>
          <w:shd w:val="clear" w:color="auto" w:fill="FFFFFF"/>
          <w:lang w:val="en-US" w:eastAsia="zh-CN" w:bidi="ar-SA"/>
        </w:rPr>
        <w:t>》的通知</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pPr>
      <w:r>
        <w:rPr>
          <w:rFonts w:hint="eastAsia" w:ascii="Times New Roman" w:hAnsi="Times New Roman" w:eastAsia="方正仿宋_GBK" w:cs="Times New Roman"/>
          <w:sz w:val="32"/>
          <w:szCs w:val="32"/>
          <w:lang w:val="en-US" w:eastAsia="zh-CN"/>
        </w:rPr>
        <w:t>亳安〔2022〕6号</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val="en-US" w:eastAsia="zh-CN"/>
        </w:rPr>
      </w:pP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各县、区安委会，亳州高新区、亳芜现代产业园区安委会、市安委会各成员单位，中央、省驻亳单位和市属企业：</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经市安委会同意，现将《亳州市安全生产红黄牌警示制度》印发你们，请抓好贯彻落实。</w:t>
      </w: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420" w:firstLineChars="200"/>
        <w:jc w:val="center"/>
        <w:textAlignment w:val="auto"/>
      </w:pP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420" w:rightChars="200" w:firstLine="4998" w:firstLineChars="1562"/>
        <w:jc w:val="right"/>
        <w:textAlignment w:val="auto"/>
        <w:rPr>
          <w:rFonts w:hint="eastAsia"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亳州市安全生产委员会</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630" w:rightChars="300" w:firstLine="4998" w:firstLineChars="1562"/>
        <w:jc w:val="right"/>
        <w:textAlignment w:val="auto"/>
        <w:rPr>
          <w:rFonts w:hint="default" w:ascii="方正仿宋_GBK" w:hAnsi="方正仿宋_GBK" w:eastAsia="方正仿宋_GBK" w:cs="方正仿宋_GBK"/>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2022年</w:t>
      </w:r>
      <w:r>
        <w:rPr>
          <w:rFonts w:hint="eastAsia" w:ascii="Times New Roman" w:hAnsi="Times New Roman" w:eastAsia="方正仿宋_GBK" w:cs="Times New Roman"/>
          <w:kern w:val="0"/>
          <w:sz w:val="32"/>
          <w:szCs w:val="32"/>
          <w:shd w:val="clear" w:color="auto" w:fill="FFFFFF"/>
          <w:lang w:val="en-US" w:eastAsia="zh-CN" w:bidi="ar-SA"/>
        </w:rPr>
        <w:t>5</w:t>
      </w:r>
      <w:r>
        <w:rPr>
          <w:rFonts w:hint="default" w:ascii="Times New Roman" w:hAnsi="Times New Roman" w:eastAsia="方正仿宋_GBK" w:cs="Times New Roman"/>
          <w:kern w:val="0"/>
          <w:sz w:val="32"/>
          <w:szCs w:val="32"/>
          <w:shd w:val="clear" w:color="auto" w:fill="FFFFFF"/>
          <w:lang w:val="en-US" w:eastAsia="zh-CN" w:bidi="ar-SA"/>
        </w:rPr>
        <w:t>月</w:t>
      </w:r>
      <w:r>
        <w:rPr>
          <w:rFonts w:hint="eastAsia" w:ascii="Times New Roman" w:hAnsi="Times New Roman" w:eastAsia="方正仿宋_GBK" w:cs="Times New Roman"/>
          <w:kern w:val="0"/>
          <w:sz w:val="32"/>
          <w:szCs w:val="32"/>
          <w:shd w:val="clear" w:color="auto" w:fill="FFFFFF"/>
          <w:lang w:val="en-US" w:eastAsia="zh-CN" w:bidi="ar-SA"/>
        </w:rPr>
        <w:t>1</w:t>
      </w:r>
      <w:r>
        <w:rPr>
          <w:rFonts w:hint="default" w:ascii="Times New Roman" w:hAnsi="Times New Roman" w:eastAsia="方正仿宋_GBK" w:cs="Times New Roman"/>
          <w:kern w:val="0"/>
          <w:sz w:val="32"/>
          <w:szCs w:val="32"/>
          <w:shd w:val="clear" w:color="auto" w:fill="FFFFFF"/>
          <w:lang w:val="en-US" w:eastAsia="zh-CN" w:bidi="ar-SA"/>
        </w:rPr>
        <w:t>2</w:t>
      </w:r>
      <w:r>
        <w:rPr>
          <w:rFonts w:hint="eastAsia" w:ascii="Times New Roman" w:hAnsi="Times New Roman" w:eastAsia="方正仿宋_GBK" w:cs="Times New Roman"/>
          <w:kern w:val="0"/>
          <w:sz w:val="32"/>
          <w:szCs w:val="32"/>
          <w:shd w:val="clear" w:color="auto" w:fill="FFFFFF"/>
          <w:lang w:val="en-US" w:eastAsia="zh-CN" w:bidi="ar-SA"/>
        </w:rPr>
        <w:t>日</w:t>
      </w: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黑体" w:hAnsi="黑体" w:eastAsia="黑体" w:cs="黑体"/>
          <w:i w:val="0"/>
          <w:caps w:val="0"/>
          <w:color w:val="333333"/>
          <w:spacing w:val="0"/>
          <w:sz w:val="32"/>
          <w:szCs w:val="32"/>
          <w:shd w:val="clear" w:fill="FFFFFF"/>
          <w:lang w:val="en-US" w:eastAsia="zh-CN"/>
        </w:rPr>
      </w:pPr>
    </w:p>
    <w:p>
      <w:pPr>
        <w:pStyle w:val="6"/>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pStyle w:val="6"/>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pStyle w:val="6"/>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简体" w:hAnsi="方正小标宋简体" w:eastAsia="方正小标宋简体" w:cs="方正小标宋简体"/>
          <w:bCs/>
          <w:color w:val="auto"/>
          <w:sz w:val="44"/>
          <w:szCs w:val="22"/>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简体" w:hAnsi="方正小标宋简体" w:eastAsia="方正小标宋简体" w:cs="方正小标宋简体"/>
          <w:bCs/>
          <w:color w:val="auto"/>
          <w:sz w:val="44"/>
          <w:szCs w:val="22"/>
        </w:rPr>
        <w:t>亳州市安全生产红黄牌警示制度</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仿宋_GBK" w:hAnsi="方正仿宋_GBK" w:eastAsia="方正仿宋_GBK" w:cs="方正仿宋_GBK"/>
          <w:kern w:val="0"/>
          <w:sz w:val="32"/>
          <w:szCs w:val="32"/>
          <w:shd w:val="clear" w:color="auto" w:fill="FFFFFF"/>
          <w:lang w:val="en-US" w:eastAsia="zh-CN" w:bidi="ar-SA"/>
        </w:rPr>
      </w:pP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仿宋_GB2312" w:hAnsi="仿宋_GB2312" w:eastAsia="仿宋_GB2312" w:cs="仿宋_GB2312"/>
          <w:b w:val="0"/>
          <w:bCs w:val="0"/>
          <w:snapToGrid w:val="0"/>
          <w:color w:val="auto"/>
          <w:spacing w:val="0"/>
          <w:kern w:val="0"/>
          <w:sz w:val="32"/>
          <w:szCs w:val="32"/>
          <w:lang w:val="en-US" w:eastAsia="zh-CN" w:bidi="ar-SA"/>
        </w:rPr>
      </w:pPr>
      <w:r>
        <w:rPr>
          <w:rFonts w:hint="eastAsia" w:ascii="黑体" w:hAnsi="黑体" w:eastAsia="黑体" w:cs="黑体"/>
          <w:b w:val="0"/>
          <w:bCs w:val="0"/>
          <w:snapToGrid w:val="0"/>
          <w:color w:val="auto"/>
          <w:spacing w:val="0"/>
          <w:kern w:val="0"/>
          <w:sz w:val="32"/>
          <w:szCs w:val="32"/>
          <w:lang w:val="en-US" w:eastAsia="zh-CN" w:bidi="ar-SA"/>
        </w:rPr>
        <w:t>第一条</w:t>
      </w:r>
      <w:r>
        <w:rPr>
          <w:rFonts w:hint="eastAsia"/>
          <w:lang w:val="en-US" w:eastAsia="zh-CN"/>
        </w:rPr>
        <w:t xml:space="preserve">    </w:t>
      </w:r>
      <w:r>
        <w:rPr>
          <w:rFonts w:hint="eastAsia" w:ascii="方正仿宋_GBK" w:hAnsi="方正仿宋_GBK" w:eastAsia="方正仿宋_GBK" w:cs="方正仿宋_GBK"/>
          <w:b w:val="0"/>
          <w:bCs w:val="0"/>
          <w:snapToGrid w:val="0"/>
          <w:color w:val="auto"/>
          <w:spacing w:val="0"/>
          <w:kern w:val="0"/>
          <w:sz w:val="32"/>
          <w:szCs w:val="32"/>
          <w:lang w:val="en-US" w:eastAsia="zh-CN" w:bidi="ar-SA"/>
        </w:rPr>
        <w:t>为督促各级各部门和生产经营单位落实安全生产责任，减少各类安全生产事故发生，根据《中华人民共和国安全生产法》《安全生产事故隐患排查治理暂行规定》等法律法规，制定本制度。</w:t>
      </w:r>
    </w:p>
    <w:p>
      <w:pPr>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textAlignment w:val="auto"/>
        <w:rPr>
          <w:rFonts w:hint="eastAsia" w:ascii="仿宋_GB2312" w:hAnsi="仿宋_GB2312" w:eastAsia="仿宋_GB2312" w:cs="仿宋_GB2312"/>
          <w:b w:val="0"/>
          <w:bCs w:val="0"/>
          <w:snapToGrid w:val="0"/>
          <w:color w:val="auto"/>
          <w:spacing w:val="0"/>
          <w:kern w:val="0"/>
          <w:sz w:val="32"/>
          <w:szCs w:val="32"/>
          <w:lang w:val="en-US" w:eastAsia="zh-CN" w:bidi="ar-SA"/>
        </w:rPr>
      </w:pPr>
      <w:r>
        <w:rPr>
          <w:rFonts w:hint="eastAsia" w:ascii="黑体" w:hAnsi="黑体" w:eastAsia="黑体" w:cs="黑体"/>
          <w:b w:val="0"/>
          <w:bCs w:val="0"/>
          <w:snapToGrid w:val="0"/>
          <w:color w:val="auto"/>
          <w:spacing w:val="0"/>
          <w:kern w:val="0"/>
          <w:sz w:val="32"/>
          <w:szCs w:val="32"/>
          <w:lang w:val="en-US" w:eastAsia="zh-CN" w:bidi="ar-SA"/>
        </w:rPr>
        <w:t>第二条</w:t>
      </w:r>
      <w:r>
        <w:rPr>
          <w:rFonts w:hint="eastAsia" w:ascii="仿宋_GB2312" w:hAnsi="仿宋_GB2312" w:eastAsia="仿宋_GB2312" w:cs="仿宋_GB2312"/>
          <w:b w:val="0"/>
          <w:bCs w:val="0"/>
          <w:snapToGrid w:val="0"/>
          <w:color w:val="auto"/>
          <w:spacing w:val="0"/>
          <w:kern w:val="0"/>
          <w:sz w:val="32"/>
          <w:szCs w:val="32"/>
          <w:lang w:val="en-US" w:eastAsia="zh-CN" w:bidi="ar-SA"/>
        </w:rPr>
        <w:t xml:space="preserve">  </w:t>
      </w:r>
      <w:r>
        <w:rPr>
          <w:rFonts w:hint="eastAsia" w:ascii="方正仿宋_GBK" w:hAnsi="方正仿宋_GBK" w:eastAsia="方正仿宋_GBK" w:cs="方正仿宋_GBK"/>
          <w:b w:val="0"/>
          <w:bCs w:val="0"/>
          <w:snapToGrid w:val="0"/>
          <w:color w:val="auto"/>
          <w:spacing w:val="0"/>
          <w:kern w:val="0"/>
          <w:sz w:val="32"/>
          <w:szCs w:val="32"/>
          <w:lang w:val="en-US" w:eastAsia="zh-CN" w:bidi="ar-SA"/>
        </w:rPr>
        <w:t>本制度所称的安全生产红黄牌挂牌警示，是指市、县两级安委会对安全生产责任制不落实、生产安全事故突出、重大隐患整改不力的党委政府、部门、生产经营单位实行挂牌警示。</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方正仿宋_GBK" w:hAnsi="方正仿宋_GBK" w:eastAsia="方正仿宋_GBK" w:cs="方正仿宋_GBK"/>
          <w:b w:val="0"/>
          <w:bCs w:val="0"/>
          <w:snapToGrid w:val="0"/>
          <w:color w:val="auto"/>
          <w:spacing w:val="0"/>
          <w:kern w:val="0"/>
          <w:sz w:val="32"/>
          <w:szCs w:val="32"/>
          <w:lang w:val="en-US" w:eastAsia="zh-CN" w:bidi="ar-SA"/>
        </w:rPr>
      </w:pPr>
      <w:r>
        <w:rPr>
          <w:rFonts w:hint="eastAsia" w:ascii="黑体" w:hAnsi="黑体" w:eastAsia="黑体" w:cs="黑体"/>
          <w:b w:val="0"/>
          <w:bCs w:val="0"/>
          <w:snapToGrid w:val="0"/>
          <w:color w:val="auto"/>
          <w:spacing w:val="0"/>
          <w:kern w:val="0"/>
          <w:sz w:val="32"/>
          <w:szCs w:val="32"/>
          <w:lang w:val="en-US" w:eastAsia="zh-CN" w:bidi="ar-SA"/>
        </w:rPr>
        <w:t>第三条</w:t>
      </w:r>
      <w:r>
        <w:rPr>
          <w:rFonts w:hint="eastAsia" w:ascii="仿宋_GB2312" w:hAnsi="仿宋_GB2312" w:eastAsia="仿宋_GB2312" w:cs="仿宋_GB2312"/>
          <w:b w:val="0"/>
          <w:bCs w:val="0"/>
          <w:snapToGrid w:val="0"/>
          <w:color w:val="auto"/>
          <w:spacing w:val="0"/>
          <w:kern w:val="0"/>
          <w:sz w:val="32"/>
          <w:szCs w:val="32"/>
          <w:lang w:val="en-US" w:eastAsia="zh-CN" w:bidi="ar-SA"/>
        </w:rPr>
        <w:t xml:space="preserve">  </w:t>
      </w:r>
      <w:r>
        <w:rPr>
          <w:rFonts w:hint="eastAsia" w:ascii="方正仿宋_GBK" w:hAnsi="方正仿宋_GBK" w:eastAsia="方正仿宋_GBK" w:cs="方正仿宋_GBK"/>
          <w:b w:val="0"/>
          <w:bCs w:val="0"/>
          <w:snapToGrid w:val="0"/>
          <w:color w:val="auto"/>
          <w:spacing w:val="0"/>
          <w:kern w:val="0"/>
          <w:sz w:val="32"/>
          <w:szCs w:val="32"/>
          <w:lang w:val="en-US" w:eastAsia="zh-CN" w:bidi="ar-SA"/>
        </w:rPr>
        <w:t>存在下列情形之一的，除市安委会掌握的，一律由县区安委会给予“黄牌”挂牌</w:t>
      </w:r>
      <w:r>
        <w:rPr>
          <w:rFonts w:hint="eastAsia" w:ascii="方正仿宋_GBK" w:hAnsi="方正仿宋_GBK" w:eastAsia="方正仿宋_GBK" w:cs="方正仿宋_GBK"/>
          <w:b w:val="0"/>
          <w:bCs w:val="0"/>
          <w:snapToGrid w:val="0"/>
          <w:color w:val="auto"/>
          <w:spacing w:val="0"/>
          <w:kern w:val="0"/>
          <w:sz w:val="32"/>
          <w:szCs w:val="32"/>
          <w:lang w:val="en" w:eastAsia="zh-CN" w:bidi="ar-SA"/>
        </w:rPr>
        <w:t>警示：</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方正仿宋_GBK" w:hAnsi="方正仿宋_GBK" w:eastAsia="方正仿宋_GBK" w:cs="方正仿宋_GBK"/>
          <w:b w:val="0"/>
          <w:bCs w:val="0"/>
          <w:snapToGrid w:val="0"/>
          <w:color w:val="auto"/>
          <w:spacing w:val="0"/>
          <w:kern w:val="0"/>
          <w:sz w:val="32"/>
          <w:szCs w:val="32"/>
          <w:lang w:val="en-US" w:eastAsia="zh-CN" w:bidi="ar-SA"/>
        </w:rPr>
      </w:pPr>
      <w:r>
        <w:rPr>
          <w:rFonts w:hint="eastAsia" w:ascii="方正仿宋_GBK" w:hAnsi="方正仿宋_GBK" w:eastAsia="方正仿宋_GBK" w:cs="方正仿宋_GBK"/>
          <w:b w:val="0"/>
          <w:bCs w:val="0"/>
          <w:snapToGrid w:val="0"/>
          <w:color w:val="auto"/>
          <w:spacing w:val="0"/>
          <w:kern w:val="0"/>
          <w:sz w:val="32"/>
          <w:szCs w:val="32"/>
          <w:lang w:val="en-US" w:eastAsia="zh-CN" w:bidi="ar-SA"/>
        </w:rPr>
        <w:t>（一）党委、政府和行业部门存在安全生产责任制落实不到位或上级关于安全生产决策部署执行不到位的，致使辖区、行业重大隐患较多，事故多发、易发的，或事故死亡人数超去年同期</w:t>
      </w:r>
      <w:r>
        <w:rPr>
          <w:rFonts w:hint="eastAsia" w:ascii="Times New Roman" w:hAnsi="Times New Roman" w:eastAsia="方正仿宋_GBK" w:cs="Times New Roman"/>
          <w:spacing w:val="0"/>
          <w:kern w:val="0"/>
          <w:sz w:val="32"/>
          <w:szCs w:val="32"/>
          <w:shd w:val="clear" w:color="auto" w:fill="FFFFFF"/>
          <w:lang w:val="en-US" w:eastAsia="zh-CN" w:bidi="ar-SA"/>
        </w:rPr>
        <w:t>10%</w:t>
      </w:r>
      <w:r>
        <w:rPr>
          <w:rFonts w:hint="eastAsia" w:ascii="方正仿宋_GBK" w:hAnsi="方正仿宋_GBK" w:eastAsia="方正仿宋_GBK" w:cs="方正仿宋_GBK"/>
          <w:b w:val="0"/>
          <w:bCs w:val="0"/>
          <w:snapToGrid w:val="0"/>
          <w:color w:val="auto"/>
          <w:spacing w:val="0"/>
          <w:kern w:val="0"/>
          <w:sz w:val="32"/>
          <w:szCs w:val="32"/>
          <w:lang w:val="en-US" w:eastAsia="zh-CN" w:bidi="ar-SA"/>
        </w:rPr>
        <w:t>以上不足</w:t>
      </w:r>
      <w:r>
        <w:rPr>
          <w:rFonts w:hint="eastAsia" w:ascii="Times New Roman" w:hAnsi="Times New Roman" w:eastAsia="方正仿宋_GBK" w:cs="Times New Roman"/>
          <w:spacing w:val="0"/>
          <w:kern w:val="0"/>
          <w:sz w:val="32"/>
          <w:szCs w:val="32"/>
          <w:shd w:val="clear" w:color="auto" w:fill="FFFFFF"/>
          <w:lang w:val="en-US" w:eastAsia="zh-CN" w:bidi="ar-SA"/>
        </w:rPr>
        <w:t>30%</w:t>
      </w:r>
      <w:r>
        <w:rPr>
          <w:rFonts w:hint="eastAsia" w:ascii="方正仿宋_GBK" w:hAnsi="方正仿宋_GBK" w:eastAsia="方正仿宋_GBK" w:cs="方正仿宋_GBK"/>
          <w:b w:val="0"/>
          <w:bCs w:val="0"/>
          <w:snapToGrid w:val="0"/>
          <w:color w:val="auto"/>
          <w:spacing w:val="0"/>
          <w:kern w:val="0"/>
          <w:sz w:val="32"/>
          <w:szCs w:val="32"/>
          <w:lang w:val="en-US" w:eastAsia="zh-CN" w:bidi="ar-SA"/>
        </w:rPr>
        <w:t>的；</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方正仿宋_GBK" w:hAnsi="方正仿宋_GBK" w:eastAsia="方正仿宋_GBK" w:cs="方正仿宋_GBK"/>
          <w:b w:val="0"/>
          <w:bCs w:val="0"/>
          <w:snapToGrid w:val="0"/>
          <w:color w:val="auto"/>
          <w:spacing w:val="0"/>
          <w:kern w:val="0"/>
          <w:sz w:val="32"/>
          <w:szCs w:val="32"/>
          <w:lang w:val="en-US" w:eastAsia="zh-CN" w:bidi="ar-SA"/>
        </w:rPr>
      </w:pPr>
      <w:r>
        <w:rPr>
          <w:rFonts w:hint="eastAsia" w:ascii="方正仿宋_GBK" w:hAnsi="方正仿宋_GBK" w:eastAsia="方正仿宋_GBK" w:cs="方正仿宋_GBK"/>
          <w:b w:val="0"/>
          <w:bCs w:val="0"/>
          <w:snapToGrid w:val="0"/>
          <w:color w:val="auto"/>
          <w:spacing w:val="0"/>
          <w:kern w:val="0"/>
          <w:sz w:val="32"/>
          <w:szCs w:val="32"/>
          <w:lang w:val="en-US" w:eastAsia="zh-CN" w:bidi="ar-SA"/>
        </w:rPr>
        <w:t>（二）生产经营单位存在下列情形之一的：</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方正仿宋_GBK" w:hAnsi="方正仿宋_GBK" w:eastAsia="方正仿宋_GBK" w:cs="方正仿宋_GBK"/>
          <w:b w:val="0"/>
          <w:bCs w:val="0"/>
          <w:snapToGrid w:val="0"/>
          <w:color w:val="auto"/>
          <w:spacing w:val="0"/>
          <w:kern w:val="0"/>
          <w:sz w:val="32"/>
          <w:szCs w:val="32"/>
          <w:lang w:val="en-US" w:eastAsia="zh-CN" w:bidi="ar-SA"/>
        </w:rPr>
      </w:pPr>
      <w:r>
        <w:rPr>
          <w:rFonts w:hint="eastAsia" w:ascii="Times New Roman" w:hAnsi="Times New Roman" w:eastAsia="方正仿宋_GBK" w:cs="Times New Roman"/>
          <w:spacing w:val="0"/>
          <w:kern w:val="0"/>
          <w:sz w:val="32"/>
          <w:szCs w:val="32"/>
          <w:shd w:val="clear" w:color="auto" w:fill="FFFFFF"/>
          <w:lang w:val="en-US" w:eastAsia="zh-CN" w:bidi="ar-SA"/>
        </w:rPr>
        <w:t>1.</w:t>
      </w:r>
      <w:r>
        <w:rPr>
          <w:rFonts w:hint="eastAsia" w:ascii="方正仿宋_GBK" w:hAnsi="方正仿宋_GBK" w:eastAsia="方正仿宋_GBK" w:cs="方正仿宋_GBK"/>
          <w:b w:val="0"/>
          <w:bCs w:val="0"/>
          <w:snapToGrid w:val="0"/>
          <w:color w:val="auto"/>
          <w:spacing w:val="0"/>
          <w:kern w:val="0"/>
          <w:sz w:val="32"/>
          <w:szCs w:val="32"/>
          <w:lang w:val="en-US" w:eastAsia="zh-CN" w:bidi="ar-SA"/>
        </w:rPr>
        <w:t>生产经营单位未严格落实企业安全生产主体责任，事故隐患不整改、或违章作业多、或重大安全隐患未采取有效防范措施的；</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方正仿宋_GBK" w:hAnsi="方正仿宋_GBK" w:eastAsia="方正仿宋_GBK" w:cs="方正仿宋_GBK"/>
          <w:b w:val="0"/>
          <w:bCs w:val="0"/>
          <w:snapToGrid w:val="0"/>
          <w:color w:val="auto"/>
          <w:spacing w:val="0"/>
          <w:kern w:val="0"/>
          <w:sz w:val="32"/>
          <w:szCs w:val="32"/>
          <w:lang w:val="en-US" w:eastAsia="zh-CN" w:bidi="ar-SA"/>
        </w:rPr>
      </w:pPr>
      <w:r>
        <w:rPr>
          <w:rFonts w:hint="eastAsia" w:ascii="Times New Roman" w:hAnsi="Times New Roman" w:eastAsia="方正仿宋_GBK" w:cs="Times New Roman"/>
          <w:spacing w:val="0"/>
          <w:kern w:val="0"/>
          <w:sz w:val="32"/>
          <w:szCs w:val="32"/>
          <w:shd w:val="clear" w:color="auto" w:fill="FFFFFF"/>
          <w:lang w:val="en-US" w:eastAsia="zh-CN" w:bidi="ar-SA"/>
        </w:rPr>
        <w:t>2.</w:t>
      </w:r>
      <w:r>
        <w:rPr>
          <w:rFonts w:hint="eastAsia" w:ascii="方正仿宋_GBK" w:hAnsi="方正仿宋_GBK" w:eastAsia="方正仿宋_GBK" w:cs="方正仿宋_GBK"/>
          <w:b w:val="0"/>
          <w:bCs w:val="0"/>
          <w:snapToGrid w:val="0"/>
          <w:color w:val="auto"/>
          <w:spacing w:val="0"/>
          <w:kern w:val="0"/>
          <w:sz w:val="32"/>
          <w:szCs w:val="32"/>
          <w:lang w:val="en-US" w:eastAsia="zh-CN" w:bidi="ar-SA"/>
        </w:rPr>
        <w:t>发生生产安全事故，造成人员受伤的；</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仿宋_GB2312" w:hAnsi="仿宋_GB2312" w:eastAsia="仿宋_GB2312" w:cs="仿宋_GB2312"/>
          <w:b w:val="0"/>
          <w:bCs w:val="0"/>
          <w:snapToGrid w:val="0"/>
          <w:color w:val="auto"/>
          <w:spacing w:val="0"/>
          <w:kern w:val="0"/>
          <w:sz w:val="32"/>
          <w:szCs w:val="32"/>
          <w:lang w:val="en-US" w:eastAsia="zh-CN" w:bidi="ar-SA"/>
        </w:rPr>
      </w:pPr>
      <w:r>
        <w:rPr>
          <w:rFonts w:hint="eastAsia" w:ascii="Times New Roman" w:hAnsi="Times New Roman" w:eastAsia="方正仿宋_GBK" w:cs="Times New Roman"/>
          <w:spacing w:val="0"/>
          <w:kern w:val="0"/>
          <w:sz w:val="32"/>
          <w:szCs w:val="32"/>
          <w:shd w:val="clear" w:color="auto" w:fill="FFFFFF"/>
          <w:lang w:val="en-US" w:eastAsia="zh-CN" w:bidi="ar-SA"/>
        </w:rPr>
        <w:t>3.</w:t>
      </w:r>
      <w:r>
        <w:rPr>
          <w:rFonts w:hint="eastAsia" w:ascii="方正仿宋_GBK" w:hAnsi="方正仿宋_GBK" w:eastAsia="方正仿宋_GBK" w:cs="方正仿宋_GBK"/>
          <w:b w:val="0"/>
          <w:bCs w:val="0"/>
          <w:snapToGrid w:val="0"/>
          <w:color w:val="auto"/>
          <w:spacing w:val="0"/>
          <w:kern w:val="0"/>
          <w:sz w:val="32"/>
          <w:szCs w:val="32"/>
          <w:lang w:val="en-US" w:eastAsia="zh-CN" w:bidi="ar-SA"/>
        </w:rPr>
        <w:t>其他违反安全生产法律法规，需要“黄牌”挂牌警示的情形。</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方正仿宋_GBK" w:hAnsi="方正仿宋_GBK" w:eastAsia="方正仿宋_GBK" w:cs="方正仿宋_GBK"/>
          <w:b w:val="0"/>
          <w:bCs w:val="0"/>
          <w:snapToGrid w:val="0"/>
          <w:color w:val="auto"/>
          <w:spacing w:val="0"/>
          <w:kern w:val="0"/>
          <w:sz w:val="32"/>
          <w:szCs w:val="32"/>
          <w:lang w:val="en" w:eastAsia="zh-CN" w:bidi="ar-SA"/>
        </w:rPr>
      </w:pPr>
      <w:r>
        <w:rPr>
          <w:rFonts w:hint="eastAsia" w:ascii="黑体" w:hAnsi="黑体" w:eastAsia="黑体" w:cs="黑体"/>
          <w:b w:val="0"/>
          <w:bCs w:val="0"/>
          <w:snapToGrid w:val="0"/>
          <w:color w:val="auto"/>
          <w:spacing w:val="0"/>
          <w:kern w:val="0"/>
          <w:sz w:val="32"/>
          <w:szCs w:val="32"/>
          <w:lang w:val="en-US" w:eastAsia="zh-CN" w:bidi="ar-SA"/>
        </w:rPr>
        <w:t>第四条</w:t>
      </w:r>
      <w:r>
        <w:rPr>
          <w:rFonts w:hint="eastAsia" w:ascii="仿宋_GB2312" w:hAnsi="仿宋_GB2312" w:eastAsia="仿宋_GB2312" w:cs="仿宋_GB2312"/>
          <w:b w:val="0"/>
          <w:bCs w:val="0"/>
          <w:snapToGrid w:val="0"/>
          <w:color w:val="auto"/>
          <w:spacing w:val="0"/>
          <w:kern w:val="0"/>
          <w:sz w:val="32"/>
          <w:szCs w:val="32"/>
          <w:lang w:val="en-US" w:eastAsia="zh-CN" w:bidi="ar-SA"/>
        </w:rPr>
        <w:t xml:space="preserve">  </w:t>
      </w:r>
      <w:r>
        <w:rPr>
          <w:rFonts w:hint="eastAsia" w:ascii="方正仿宋_GBK" w:hAnsi="方正仿宋_GBK" w:eastAsia="方正仿宋_GBK" w:cs="方正仿宋_GBK"/>
          <w:b w:val="0"/>
          <w:bCs w:val="0"/>
          <w:snapToGrid w:val="0"/>
          <w:color w:val="auto"/>
          <w:spacing w:val="0"/>
          <w:kern w:val="0"/>
          <w:sz w:val="32"/>
          <w:szCs w:val="32"/>
          <w:lang w:val="en-US" w:eastAsia="zh-CN" w:bidi="ar-SA"/>
        </w:rPr>
        <w:t>存在下列情形之一的，除市安委会掌握的，其它由县区安委办和市直行业部门提请市安委会给予“红牌”挂牌</w:t>
      </w:r>
      <w:r>
        <w:rPr>
          <w:rFonts w:hint="eastAsia" w:ascii="方正仿宋_GBK" w:hAnsi="方正仿宋_GBK" w:eastAsia="方正仿宋_GBK" w:cs="方正仿宋_GBK"/>
          <w:b w:val="0"/>
          <w:bCs w:val="0"/>
          <w:snapToGrid w:val="0"/>
          <w:color w:val="auto"/>
          <w:spacing w:val="0"/>
          <w:kern w:val="0"/>
          <w:sz w:val="32"/>
          <w:szCs w:val="32"/>
          <w:lang w:val="en" w:eastAsia="zh-CN" w:bidi="ar-SA"/>
        </w:rPr>
        <w:t>警示：</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方正仿宋_GBK" w:hAnsi="方正仿宋_GBK" w:eastAsia="方正仿宋_GBK" w:cs="方正仿宋_GBK"/>
          <w:b w:val="0"/>
          <w:bCs w:val="0"/>
          <w:snapToGrid w:val="0"/>
          <w:color w:val="auto"/>
          <w:spacing w:val="0"/>
          <w:kern w:val="0"/>
          <w:sz w:val="32"/>
          <w:szCs w:val="32"/>
          <w:lang w:val="en-US" w:eastAsia="zh-CN" w:bidi="ar-SA"/>
        </w:rPr>
      </w:pPr>
      <w:r>
        <w:rPr>
          <w:rFonts w:hint="eastAsia" w:ascii="方正仿宋_GBK" w:hAnsi="方正仿宋_GBK" w:eastAsia="方正仿宋_GBK" w:cs="方正仿宋_GBK"/>
          <w:b w:val="0"/>
          <w:bCs w:val="0"/>
          <w:snapToGrid w:val="0"/>
          <w:color w:val="auto"/>
          <w:spacing w:val="0"/>
          <w:kern w:val="0"/>
          <w:sz w:val="32"/>
          <w:szCs w:val="32"/>
          <w:lang w:val="en-US" w:eastAsia="zh-CN" w:bidi="ar-SA"/>
        </w:rPr>
        <w:t>（一）党委、政府和行业部门未落实安全生产责任制或未贯彻执行上级安全生产决策部署的，或违法违规生产经营行为突出，或安全生产事故频发或发生较大及以上生产安全事故的，或事故死亡人数超去年同期</w:t>
      </w:r>
      <w:r>
        <w:rPr>
          <w:rFonts w:hint="eastAsia" w:ascii="Times New Roman" w:hAnsi="Times New Roman" w:eastAsia="方正仿宋_GBK" w:cs="Times New Roman"/>
          <w:spacing w:val="0"/>
          <w:kern w:val="0"/>
          <w:sz w:val="32"/>
          <w:szCs w:val="32"/>
          <w:shd w:val="clear" w:color="auto" w:fill="FFFFFF"/>
          <w:lang w:val="en-US" w:eastAsia="zh-CN" w:bidi="ar-SA"/>
        </w:rPr>
        <w:t>30%</w:t>
      </w:r>
      <w:r>
        <w:rPr>
          <w:rFonts w:hint="eastAsia" w:ascii="方正仿宋_GBK" w:hAnsi="方正仿宋_GBK" w:eastAsia="方正仿宋_GBK" w:cs="方正仿宋_GBK"/>
          <w:b w:val="0"/>
          <w:bCs w:val="0"/>
          <w:snapToGrid w:val="0"/>
          <w:color w:val="auto"/>
          <w:spacing w:val="0"/>
          <w:kern w:val="0"/>
          <w:sz w:val="32"/>
          <w:szCs w:val="32"/>
          <w:lang w:val="en-US" w:eastAsia="zh-CN" w:bidi="ar-SA"/>
        </w:rPr>
        <w:t>以上的；</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方正仿宋_GBK" w:hAnsi="方正仿宋_GBK" w:eastAsia="方正仿宋_GBK" w:cs="方正仿宋_GBK"/>
          <w:b w:val="0"/>
          <w:bCs w:val="0"/>
          <w:snapToGrid w:val="0"/>
          <w:color w:val="auto"/>
          <w:spacing w:val="0"/>
          <w:kern w:val="0"/>
          <w:sz w:val="32"/>
          <w:szCs w:val="32"/>
          <w:lang w:val="en-US" w:eastAsia="zh-CN" w:bidi="ar-SA"/>
        </w:rPr>
      </w:pPr>
      <w:r>
        <w:rPr>
          <w:rFonts w:hint="eastAsia" w:ascii="方正仿宋_GBK" w:hAnsi="方正仿宋_GBK" w:eastAsia="方正仿宋_GBK" w:cs="方正仿宋_GBK"/>
          <w:b w:val="0"/>
          <w:bCs w:val="0"/>
          <w:snapToGrid w:val="0"/>
          <w:color w:val="auto"/>
          <w:spacing w:val="0"/>
          <w:kern w:val="0"/>
          <w:sz w:val="32"/>
          <w:szCs w:val="32"/>
          <w:lang w:val="en-US" w:eastAsia="zh-CN" w:bidi="ar-SA"/>
        </w:rPr>
        <w:t>（二）被“黄牌”挂牌</w:t>
      </w:r>
      <w:r>
        <w:rPr>
          <w:rFonts w:hint="eastAsia" w:ascii="方正仿宋_GBK" w:hAnsi="方正仿宋_GBK" w:eastAsia="方正仿宋_GBK" w:cs="方正仿宋_GBK"/>
          <w:b w:val="0"/>
          <w:bCs w:val="0"/>
          <w:snapToGrid w:val="0"/>
          <w:color w:val="auto"/>
          <w:spacing w:val="0"/>
          <w:kern w:val="0"/>
          <w:sz w:val="32"/>
          <w:szCs w:val="32"/>
          <w:lang w:val="en" w:eastAsia="zh-CN" w:bidi="ar-SA"/>
        </w:rPr>
        <w:t>警示</w:t>
      </w:r>
      <w:r>
        <w:rPr>
          <w:rFonts w:hint="eastAsia" w:ascii="方正仿宋_GBK" w:hAnsi="方正仿宋_GBK" w:eastAsia="方正仿宋_GBK" w:cs="方正仿宋_GBK"/>
          <w:b w:val="0"/>
          <w:bCs w:val="0"/>
          <w:snapToGrid w:val="0"/>
          <w:color w:val="auto"/>
          <w:spacing w:val="0"/>
          <w:kern w:val="0"/>
          <w:sz w:val="32"/>
          <w:szCs w:val="32"/>
          <w:lang w:val="en-US" w:eastAsia="zh-CN" w:bidi="ar-SA"/>
        </w:rPr>
        <w:t>的党委政府、部门、生产经营单位在黄牌整改期间内发生安全生产事故，或在整改期内未完成整改或摘牌的；</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方正仿宋_GBK" w:hAnsi="方正仿宋_GBK" w:eastAsia="方正仿宋_GBK" w:cs="方正仿宋_GBK"/>
          <w:b w:val="0"/>
          <w:bCs w:val="0"/>
          <w:snapToGrid w:val="0"/>
          <w:color w:val="auto"/>
          <w:spacing w:val="0"/>
          <w:kern w:val="0"/>
          <w:sz w:val="32"/>
          <w:szCs w:val="32"/>
          <w:lang w:val="en-US" w:eastAsia="zh-CN" w:bidi="ar-SA"/>
        </w:rPr>
      </w:pPr>
      <w:r>
        <w:rPr>
          <w:rFonts w:hint="eastAsia" w:ascii="方正仿宋_GBK" w:hAnsi="方正仿宋_GBK" w:eastAsia="方正仿宋_GBK" w:cs="方正仿宋_GBK"/>
          <w:b w:val="0"/>
          <w:bCs w:val="0"/>
          <w:snapToGrid w:val="0"/>
          <w:color w:val="auto"/>
          <w:spacing w:val="0"/>
          <w:kern w:val="0"/>
          <w:sz w:val="32"/>
          <w:szCs w:val="32"/>
          <w:lang w:val="en-US" w:eastAsia="zh-CN" w:bidi="ar-SA"/>
        </w:rPr>
        <w:t>（三）生产经营单位存在下列情形之一的：</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方正仿宋_GBK" w:hAnsi="方正仿宋_GBK" w:eastAsia="方正仿宋_GBK" w:cs="方正仿宋_GBK"/>
          <w:b w:val="0"/>
          <w:bCs w:val="0"/>
          <w:snapToGrid w:val="0"/>
          <w:color w:val="auto"/>
          <w:spacing w:val="0"/>
          <w:kern w:val="0"/>
          <w:sz w:val="32"/>
          <w:szCs w:val="32"/>
          <w:lang w:val="en-US" w:eastAsia="zh-CN" w:bidi="ar-SA"/>
        </w:rPr>
      </w:pPr>
      <w:r>
        <w:rPr>
          <w:rFonts w:hint="eastAsia" w:ascii="Times New Roman" w:hAnsi="Times New Roman" w:eastAsia="方正仿宋_GBK" w:cs="Times New Roman"/>
          <w:spacing w:val="0"/>
          <w:kern w:val="0"/>
          <w:sz w:val="32"/>
          <w:szCs w:val="32"/>
          <w:shd w:val="clear" w:color="auto" w:fill="FFFFFF"/>
          <w:lang w:val="en-US" w:eastAsia="zh-CN" w:bidi="ar-SA"/>
        </w:rPr>
        <w:t>1.</w:t>
      </w:r>
      <w:r>
        <w:rPr>
          <w:rFonts w:hint="eastAsia" w:ascii="方正仿宋_GBK" w:hAnsi="方正仿宋_GBK" w:eastAsia="方正仿宋_GBK" w:cs="方正仿宋_GBK"/>
          <w:b w:val="0"/>
          <w:bCs w:val="0"/>
          <w:snapToGrid w:val="0"/>
          <w:color w:val="auto"/>
          <w:spacing w:val="0"/>
          <w:kern w:val="0"/>
          <w:sz w:val="32"/>
          <w:szCs w:val="32"/>
          <w:lang w:val="en-US" w:eastAsia="zh-CN" w:bidi="ar-SA"/>
        </w:rPr>
        <w:t>被责令停产停业整顿，仍从事生产经营建设活动的，或存在重大安全隐患仍组织从业人员冒险作业的；</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方正仿宋_GBK" w:hAnsi="方正仿宋_GBK" w:eastAsia="方正仿宋_GBK" w:cs="方正仿宋_GBK"/>
          <w:b w:val="0"/>
          <w:bCs w:val="0"/>
          <w:snapToGrid w:val="0"/>
          <w:color w:val="auto"/>
          <w:spacing w:val="0"/>
          <w:kern w:val="0"/>
          <w:sz w:val="32"/>
          <w:szCs w:val="32"/>
          <w:lang w:val="en-US" w:eastAsia="zh-CN" w:bidi="ar-SA"/>
        </w:rPr>
      </w:pPr>
      <w:r>
        <w:rPr>
          <w:rFonts w:hint="eastAsia" w:ascii="Times New Roman" w:hAnsi="Times New Roman" w:eastAsia="方正仿宋_GBK" w:cs="Times New Roman"/>
          <w:spacing w:val="0"/>
          <w:kern w:val="0"/>
          <w:sz w:val="32"/>
          <w:szCs w:val="32"/>
          <w:shd w:val="clear" w:color="auto" w:fill="FFFFFF"/>
          <w:lang w:val="en-US" w:eastAsia="zh-CN" w:bidi="ar-SA"/>
        </w:rPr>
        <w:t>2.</w:t>
      </w:r>
      <w:r>
        <w:rPr>
          <w:rFonts w:hint="eastAsia" w:ascii="方正仿宋_GBK" w:hAnsi="方正仿宋_GBK" w:eastAsia="方正仿宋_GBK" w:cs="方正仿宋_GBK"/>
          <w:b w:val="0"/>
          <w:bCs w:val="0"/>
          <w:snapToGrid w:val="0"/>
          <w:color w:val="auto"/>
          <w:spacing w:val="0"/>
          <w:kern w:val="0"/>
          <w:sz w:val="32"/>
          <w:szCs w:val="32"/>
          <w:lang w:val="en-US" w:eastAsia="zh-CN" w:bidi="ar-SA"/>
        </w:rPr>
        <w:t>同一企业半年内被有关部门通报</w:t>
      </w:r>
      <w:r>
        <w:rPr>
          <w:rFonts w:hint="eastAsia" w:ascii="Times New Roman" w:hAnsi="Times New Roman" w:eastAsia="方正仿宋_GBK" w:cs="Times New Roman"/>
          <w:spacing w:val="0"/>
          <w:kern w:val="0"/>
          <w:sz w:val="32"/>
          <w:szCs w:val="32"/>
          <w:shd w:val="clear" w:color="auto" w:fill="FFFFFF"/>
          <w:lang w:val="en-US" w:eastAsia="zh-CN" w:bidi="ar-SA"/>
        </w:rPr>
        <w:t>2</w:t>
      </w:r>
      <w:r>
        <w:rPr>
          <w:rFonts w:hint="eastAsia" w:ascii="方正仿宋_GBK" w:hAnsi="方正仿宋_GBK" w:eastAsia="方正仿宋_GBK" w:cs="方正仿宋_GBK"/>
          <w:b w:val="0"/>
          <w:bCs w:val="0"/>
          <w:snapToGrid w:val="0"/>
          <w:color w:val="auto"/>
          <w:spacing w:val="0"/>
          <w:kern w:val="0"/>
          <w:sz w:val="32"/>
          <w:szCs w:val="32"/>
          <w:lang w:val="en-US" w:eastAsia="zh-CN" w:bidi="ar-SA"/>
        </w:rPr>
        <w:t>次以上，或年度因安全生产被处罚</w:t>
      </w:r>
      <w:r>
        <w:rPr>
          <w:rFonts w:hint="eastAsia" w:ascii="Times New Roman" w:hAnsi="Times New Roman" w:eastAsia="方正仿宋_GBK" w:cs="Times New Roman"/>
          <w:spacing w:val="0"/>
          <w:kern w:val="0"/>
          <w:sz w:val="32"/>
          <w:szCs w:val="32"/>
          <w:shd w:val="clear" w:color="auto" w:fill="FFFFFF"/>
          <w:lang w:val="en-US" w:eastAsia="zh-CN" w:bidi="ar-SA"/>
        </w:rPr>
        <w:t>2</w:t>
      </w:r>
      <w:r>
        <w:rPr>
          <w:rFonts w:hint="eastAsia" w:ascii="方正仿宋_GBK" w:hAnsi="方正仿宋_GBK" w:eastAsia="方正仿宋_GBK" w:cs="方正仿宋_GBK"/>
          <w:b w:val="0"/>
          <w:bCs w:val="0"/>
          <w:snapToGrid w:val="0"/>
          <w:color w:val="auto"/>
          <w:spacing w:val="0"/>
          <w:kern w:val="0"/>
          <w:sz w:val="32"/>
          <w:szCs w:val="32"/>
          <w:lang w:val="en-US" w:eastAsia="zh-CN" w:bidi="ar-SA"/>
        </w:rPr>
        <w:t>次及以上的；</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方正仿宋_GBK" w:hAnsi="方正仿宋_GBK" w:eastAsia="方正仿宋_GBK" w:cs="方正仿宋_GBK"/>
          <w:b w:val="0"/>
          <w:bCs w:val="0"/>
          <w:snapToGrid w:val="0"/>
          <w:color w:val="auto"/>
          <w:spacing w:val="0"/>
          <w:kern w:val="0"/>
          <w:sz w:val="32"/>
          <w:szCs w:val="32"/>
          <w:lang w:val="en-US" w:eastAsia="zh-CN" w:bidi="ar-SA"/>
        </w:rPr>
      </w:pPr>
      <w:r>
        <w:rPr>
          <w:rFonts w:hint="eastAsia" w:ascii="Times New Roman" w:hAnsi="Times New Roman" w:eastAsia="方正仿宋_GBK" w:cs="Times New Roman"/>
          <w:spacing w:val="0"/>
          <w:kern w:val="0"/>
          <w:sz w:val="32"/>
          <w:szCs w:val="32"/>
          <w:shd w:val="clear" w:color="auto" w:fill="FFFFFF"/>
          <w:lang w:val="en-US" w:eastAsia="zh-CN" w:bidi="ar-SA"/>
        </w:rPr>
        <w:t>3.</w:t>
      </w:r>
      <w:r>
        <w:rPr>
          <w:rFonts w:hint="eastAsia" w:ascii="方正仿宋_GBK" w:hAnsi="方正仿宋_GBK" w:eastAsia="方正仿宋_GBK" w:cs="方正仿宋_GBK"/>
          <w:b w:val="0"/>
          <w:bCs w:val="0"/>
          <w:snapToGrid w:val="0"/>
          <w:color w:val="auto"/>
          <w:spacing w:val="0"/>
          <w:kern w:val="0"/>
          <w:sz w:val="32"/>
          <w:szCs w:val="32"/>
          <w:lang w:val="en-US" w:eastAsia="zh-CN" w:bidi="ar-SA"/>
        </w:rPr>
        <w:t>发生一般安全生产责任事故的；</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方正仿宋_GBK" w:hAnsi="方正仿宋_GBK" w:eastAsia="方正仿宋_GBK" w:cs="方正仿宋_GBK"/>
          <w:b w:val="0"/>
          <w:bCs w:val="0"/>
          <w:snapToGrid w:val="0"/>
          <w:color w:val="auto"/>
          <w:spacing w:val="0"/>
          <w:kern w:val="0"/>
          <w:sz w:val="32"/>
          <w:szCs w:val="32"/>
          <w:lang w:val="en-US" w:eastAsia="zh-CN" w:bidi="ar-SA"/>
        </w:rPr>
      </w:pPr>
      <w:r>
        <w:rPr>
          <w:rFonts w:hint="eastAsia" w:ascii="Times New Roman" w:hAnsi="Times New Roman" w:eastAsia="方正仿宋_GBK" w:cs="Times New Roman"/>
          <w:spacing w:val="0"/>
          <w:kern w:val="0"/>
          <w:sz w:val="32"/>
          <w:szCs w:val="32"/>
          <w:shd w:val="clear" w:color="auto" w:fill="FFFFFF"/>
          <w:lang w:val="en-US" w:eastAsia="zh-CN" w:bidi="ar-SA"/>
        </w:rPr>
        <w:t>4.</w:t>
      </w:r>
      <w:r>
        <w:rPr>
          <w:rFonts w:hint="eastAsia" w:ascii="方正仿宋_GBK" w:hAnsi="方正仿宋_GBK" w:eastAsia="方正仿宋_GBK" w:cs="方正仿宋_GBK"/>
          <w:b w:val="0"/>
          <w:bCs w:val="0"/>
          <w:snapToGrid w:val="0"/>
          <w:color w:val="auto"/>
          <w:spacing w:val="0"/>
          <w:kern w:val="0"/>
          <w:sz w:val="32"/>
          <w:szCs w:val="32"/>
          <w:lang w:val="en-US" w:eastAsia="zh-CN" w:bidi="ar-SA"/>
        </w:rPr>
        <w:t>其他违反安全生产法律法规，需要“红牌”挂牌警示的情形。</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仿宋_GB2312" w:hAnsi="仿宋_GB2312" w:eastAsia="仿宋_GB2312" w:cs="仿宋_GB2312"/>
          <w:b w:val="0"/>
          <w:bCs w:val="0"/>
          <w:snapToGrid w:val="0"/>
          <w:color w:val="auto"/>
          <w:spacing w:val="0"/>
          <w:kern w:val="0"/>
          <w:sz w:val="32"/>
          <w:szCs w:val="32"/>
          <w:lang w:val="en-US" w:eastAsia="zh-CN" w:bidi="ar-SA"/>
        </w:rPr>
      </w:pPr>
      <w:r>
        <w:rPr>
          <w:rFonts w:hint="eastAsia" w:ascii="黑体" w:hAnsi="黑体" w:eastAsia="黑体" w:cs="黑体"/>
          <w:b w:val="0"/>
          <w:bCs w:val="0"/>
          <w:snapToGrid w:val="0"/>
          <w:color w:val="auto"/>
          <w:spacing w:val="0"/>
          <w:kern w:val="0"/>
          <w:sz w:val="32"/>
          <w:szCs w:val="32"/>
          <w:lang w:val="en-US" w:eastAsia="zh-CN" w:bidi="ar-SA"/>
        </w:rPr>
        <w:t>第五条</w:t>
      </w:r>
      <w:r>
        <w:rPr>
          <w:rFonts w:hint="eastAsia" w:ascii="仿宋_GB2312" w:hAnsi="仿宋_GB2312" w:eastAsia="仿宋_GB2312" w:cs="仿宋_GB2312"/>
          <w:b w:val="0"/>
          <w:bCs w:val="0"/>
          <w:snapToGrid w:val="0"/>
          <w:color w:val="auto"/>
          <w:spacing w:val="0"/>
          <w:kern w:val="0"/>
          <w:sz w:val="32"/>
          <w:szCs w:val="32"/>
          <w:lang w:val="en-US" w:eastAsia="zh-CN" w:bidi="ar-SA"/>
        </w:rPr>
        <w:t xml:space="preserve">  </w:t>
      </w:r>
      <w:r>
        <w:rPr>
          <w:rFonts w:hint="eastAsia" w:ascii="方正仿宋_GBK" w:hAnsi="方正仿宋_GBK" w:eastAsia="方正仿宋_GBK" w:cs="方正仿宋_GBK"/>
          <w:b w:val="0"/>
          <w:bCs w:val="0"/>
          <w:snapToGrid w:val="0"/>
          <w:color w:val="auto"/>
          <w:spacing w:val="0"/>
          <w:kern w:val="0"/>
          <w:sz w:val="32"/>
          <w:szCs w:val="32"/>
          <w:lang w:val="en-US" w:eastAsia="zh-CN" w:bidi="ar-SA"/>
        </w:rPr>
        <w:t>“黄牌”挂牌警示整改期自公布之日起一个月、“红牌”挂牌警示整改期自公布之日起三个月，被“红牌”挂牌</w:t>
      </w:r>
      <w:r>
        <w:rPr>
          <w:rFonts w:hint="eastAsia" w:ascii="方正仿宋_GBK" w:hAnsi="方正仿宋_GBK" w:eastAsia="方正仿宋_GBK" w:cs="方正仿宋_GBK"/>
          <w:b w:val="0"/>
          <w:bCs w:val="0"/>
          <w:snapToGrid w:val="0"/>
          <w:color w:val="auto"/>
          <w:spacing w:val="0"/>
          <w:kern w:val="0"/>
          <w:sz w:val="32"/>
          <w:szCs w:val="32"/>
          <w:lang w:val="en" w:eastAsia="zh-CN" w:bidi="ar-SA"/>
        </w:rPr>
        <w:t>警示期间</w:t>
      </w:r>
      <w:r>
        <w:rPr>
          <w:rFonts w:hint="eastAsia" w:ascii="方正仿宋_GBK" w:hAnsi="方正仿宋_GBK" w:eastAsia="方正仿宋_GBK" w:cs="方正仿宋_GBK"/>
          <w:b w:val="0"/>
          <w:bCs w:val="0"/>
          <w:snapToGrid w:val="0"/>
          <w:color w:val="auto"/>
          <w:spacing w:val="0"/>
          <w:kern w:val="0"/>
          <w:sz w:val="32"/>
          <w:szCs w:val="32"/>
          <w:lang w:val="en-US" w:eastAsia="zh-CN" w:bidi="ar-SA"/>
        </w:rPr>
        <w:t>生产经营单位主要负责人、分管负责人三个月内不得评先评优和生产经营单位不得获得政府项目扶持。</w:t>
      </w:r>
    </w:p>
    <w:p>
      <w:pPr>
        <w:pStyle w:val="2"/>
        <w:keepNext w:val="0"/>
        <w:keepLines w:val="0"/>
        <w:pageBreakBefore w:val="0"/>
        <w:widowControl w:val="0"/>
        <w:kinsoku/>
        <w:wordWrap/>
        <w:overflowPunct/>
        <w:topLinePunct w:val="0"/>
        <w:autoSpaceDE w:val="0"/>
        <w:autoSpaceDN w:val="0"/>
        <w:bidi w:val="0"/>
        <w:snapToGrid/>
        <w:spacing w:line="590" w:lineRule="exact"/>
        <w:ind w:firstLine="640" w:firstLineChars="200"/>
        <w:jc w:val="both"/>
        <w:textAlignment w:val="auto"/>
        <w:rPr>
          <w:rFonts w:hint="eastAsia" w:ascii="仿宋_GB2312" w:hAnsi="仿宋_GB2312" w:eastAsia="仿宋_GB2312" w:cs="仿宋_GB2312"/>
          <w:b w:val="0"/>
          <w:bCs w:val="0"/>
          <w:snapToGrid w:val="0"/>
          <w:color w:val="auto"/>
          <w:spacing w:val="0"/>
          <w:kern w:val="0"/>
          <w:sz w:val="32"/>
          <w:szCs w:val="32"/>
          <w:lang w:val="en-US" w:eastAsia="zh-CN" w:bidi="ar-SA"/>
        </w:rPr>
      </w:pPr>
      <w:r>
        <w:rPr>
          <w:rFonts w:hint="eastAsia" w:ascii="黑体" w:hAnsi="黑体" w:eastAsia="黑体" w:cs="黑体"/>
          <w:b w:val="0"/>
          <w:bCs w:val="0"/>
          <w:snapToGrid w:val="0"/>
          <w:color w:val="auto"/>
          <w:spacing w:val="0"/>
          <w:kern w:val="0"/>
          <w:sz w:val="32"/>
          <w:szCs w:val="32"/>
          <w:lang w:val="en-US" w:eastAsia="zh-CN" w:bidi="ar-SA"/>
        </w:rPr>
        <w:t>第六条</w:t>
      </w:r>
      <w:r>
        <w:rPr>
          <w:rFonts w:hint="eastAsia" w:ascii="仿宋_GB2312" w:hAnsi="仿宋_GB2312" w:eastAsia="仿宋_GB2312" w:cs="仿宋_GB2312"/>
          <w:b w:val="0"/>
          <w:bCs w:val="0"/>
          <w:snapToGrid w:val="0"/>
          <w:color w:val="auto"/>
          <w:spacing w:val="0"/>
          <w:kern w:val="0"/>
          <w:sz w:val="32"/>
          <w:szCs w:val="32"/>
          <w:lang w:val="en-US" w:eastAsia="zh-CN" w:bidi="ar-SA"/>
        </w:rPr>
        <w:t xml:space="preserve">  </w:t>
      </w:r>
      <w:r>
        <w:rPr>
          <w:rFonts w:hint="eastAsia" w:ascii="方正仿宋_GBK" w:hAnsi="方正仿宋_GBK" w:eastAsia="方正仿宋_GBK" w:cs="方正仿宋_GBK"/>
          <w:b w:val="0"/>
          <w:bCs w:val="0"/>
          <w:snapToGrid w:val="0"/>
          <w:color w:val="auto"/>
          <w:spacing w:val="0"/>
          <w:kern w:val="0"/>
          <w:sz w:val="32"/>
          <w:szCs w:val="32"/>
          <w:lang w:val="en-US" w:eastAsia="zh-CN" w:bidi="ar-SA"/>
        </w:rPr>
        <w:t>市、县区安委会办公室应将作出的红黄牌挂牌警示情况抄送同级组织、监察部门和相关行业管理部门。县区红黄牌</w:t>
      </w:r>
      <w:r>
        <w:rPr>
          <w:rFonts w:hint="eastAsia" w:ascii="方正仿宋_GBK" w:hAnsi="方正仿宋_GBK" w:eastAsia="方正仿宋_GBK" w:cs="方正仿宋_GBK"/>
          <w:b w:val="0"/>
          <w:bCs w:val="0"/>
          <w:snapToGrid w:val="0"/>
          <w:color w:val="auto"/>
          <w:spacing w:val="0"/>
          <w:kern w:val="0"/>
          <w:sz w:val="32"/>
          <w:szCs w:val="32"/>
          <w:lang w:val="en" w:eastAsia="zh-CN" w:bidi="ar-SA"/>
        </w:rPr>
        <w:t>挂牌警示</w:t>
      </w:r>
      <w:r>
        <w:rPr>
          <w:rFonts w:hint="eastAsia" w:ascii="方正仿宋_GBK" w:hAnsi="方正仿宋_GBK" w:eastAsia="方正仿宋_GBK" w:cs="方正仿宋_GBK"/>
          <w:b w:val="0"/>
          <w:bCs w:val="0"/>
          <w:snapToGrid w:val="0"/>
          <w:color w:val="auto"/>
          <w:spacing w:val="0"/>
          <w:kern w:val="0"/>
          <w:sz w:val="32"/>
          <w:szCs w:val="32"/>
          <w:lang w:val="en-US" w:eastAsia="zh-CN" w:bidi="ar-SA"/>
        </w:rPr>
        <w:t>和摘牌销案情况，报市安委会办公室备案。</w:t>
      </w:r>
    </w:p>
    <w:p>
      <w:pPr>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textAlignment w:val="auto"/>
        <w:rPr>
          <w:rFonts w:hint="eastAsia" w:ascii="仿宋_GB2312" w:hAnsi="仿宋_GB2312" w:eastAsia="仿宋_GB2312" w:cs="仿宋_GB2312"/>
          <w:b w:val="0"/>
          <w:bCs w:val="0"/>
          <w:snapToGrid w:val="0"/>
          <w:color w:val="auto"/>
          <w:spacing w:val="0"/>
          <w:kern w:val="0"/>
          <w:sz w:val="32"/>
          <w:szCs w:val="32"/>
          <w:lang w:val="en-US" w:eastAsia="zh-CN" w:bidi="ar-SA"/>
        </w:rPr>
      </w:pPr>
      <w:r>
        <w:rPr>
          <w:rFonts w:hint="eastAsia" w:ascii="黑体" w:hAnsi="黑体" w:eastAsia="黑体" w:cs="黑体"/>
          <w:b w:val="0"/>
          <w:bCs w:val="0"/>
          <w:snapToGrid w:val="0"/>
          <w:color w:val="auto"/>
          <w:spacing w:val="0"/>
          <w:kern w:val="0"/>
          <w:sz w:val="32"/>
          <w:szCs w:val="32"/>
          <w:lang w:val="en-US" w:eastAsia="zh-CN" w:bidi="ar-SA"/>
        </w:rPr>
        <w:t>第七条</w:t>
      </w:r>
      <w:r>
        <w:rPr>
          <w:rFonts w:hint="eastAsia" w:ascii="仿宋_GB2312" w:hAnsi="仿宋_GB2312" w:eastAsia="仿宋_GB2312" w:cs="仿宋_GB2312"/>
          <w:b w:val="0"/>
          <w:bCs w:val="0"/>
          <w:snapToGrid w:val="0"/>
          <w:color w:val="auto"/>
          <w:spacing w:val="0"/>
          <w:kern w:val="0"/>
          <w:sz w:val="32"/>
          <w:szCs w:val="32"/>
          <w:lang w:val="en-US" w:eastAsia="zh-CN" w:bidi="ar-SA"/>
        </w:rPr>
        <w:t xml:space="preserve">  </w:t>
      </w:r>
      <w:r>
        <w:rPr>
          <w:rFonts w:hint="eastAsia" w:ascii="方正仿宋_GBK" w:hAnsi="方正仿宋_GBK" w:eastAsia="方正仿宋_GBK" w:cs="方正仿宋_GBK"/>
          <w:b w:val="0"/>
          <w:bCs w:val="0"/>
          <w:snapToGrid w:val="0"/>
          <w:color w:val="auto"/>
          <w:spacing w:val="0"/>
          <w:kern w:val="0"/>
          <w:sz w:val="32"/>
          <w:szCs w:val="32"/>
          <w:lang w:val="en-US" w:eastAsia="zh-CN" w:bidi="ar-SA"/>
        </w:rPr>
        <w:t>本制度由市安委会办公室负责解释。</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eastAsia" w:ascii="仿宋_GB2312" w:hAnsi="仿宋_GB2312" w:eastAsia="仿宋_GB2312" w:cs="仿宋_GB2312"/>
          <w:b w:val="0"/>
          <w:bCs w:val="0"/>
          <w:snapToGrid w:val="0"/>
          <w:color w:val="auto"/>
          <w:spacing w:val="0"/>
          <w:kern w:val="0"/>
          <w:sz w:val="32"/>
          <w:szCs w:val="32"/>
          <w:lang w:val="en-US" w:eastAsia="zh-CN" w:bidi="ar-SA"/>
        </w:rPr>
      </w:pPr>
      <w:r>
        <w:rPr>
          <w:rFonts w:hint="eastAsia" w:ascii="黑体" w:hAnsi="黑体" w:eastAsia="黑体" w:cs="黑体"/>
          <w:b w:val="0"/>
          <w:bCs w:val="0"/>
          <w:snapToGrid w:val="0"/>
          <w:color w:val="auto"/>
          <w:spacing w:val="0"/>
          <w:kern w:val="0"/>
          <w:sz w:val="32"/>
          <w:szCs w:val="32"/>
          <w:lang w:val="en-US" w:eastAsia="zh-CN" w:bidi="ar-SA"/>
        </w:rPr>
        <w:t>第八条</w:t>
      </w:r>
      <w:r>
        <w:rPr>
          <w:rFonts w:hint="eastAsia" w:ascii="仿宋_GB2312" w:hAnsi="仿宋_GB2312" w:eastAsia="仿宋_GB2312" w:cs="仿宋_GB2312"/>
          <w:b w:val="0"/>
          <w:bCs w:val="0"/>
          <w:snapToGrid w:val="0"/>
          <w:color w:val="auto"/>
          <w:spacing w:val="0"/>
          <w:kern w:val="0"/>
          <w:sz w:val="32"/>
          <w:szCs w:val="32"/>
          <w:lang w:val="en-US" w:eastAsia="zh-CN" w:bidi="ar-SA"/>
        </w:rPr>
        <w:t xml:space="preserve">  </w:t>
      </w:r>
      <w:r>
        <w:rPr>
          <w:rFonts w:hint="eastAsia" w:ascii="方正仿宋_GBK" w:hAnsi="方正仿宋_GBK" w:eastAsia="方正仿宋_GBK" w:cs="方正仿宋_GBK"/>
          <w:b w:val="0"/>
          <w:bCs w:val="0"/>
          <w:snapToGrid w:val="0"/>
          <w:color w:val="auto"/>
          <w:spacing w:val="0"/>
          <w:kern w:val="0"/>
          <w:sz w:val="32"/>
          <w:szCs w:val="32"/>
          <w:lang w:val="en-US" w:eastAsia="zh-CN" w:bidi="ar-SA"/>
        </w:rPr>
        <w:t>本制度自印发之日起实施。</w:t>
      </w:r>
    </w:p>
    <w:p>
      <w:pPr>
        <w:pStyle w:val="2"/>
        <w:keepNext w:val="0"/>
        <w:keepLines w:val="0"/>
        <w:pageBreakBefore w:val="0"/>
        <w:widowControl w:val="0"/>
        <w:kinsoku/>
        <w:wordWrap/>
        <w:overflowPunct/>
        <w:topLinePunct w:val="0"/>
        <w:autoSpaceDE w:val="0"/>
        <w:autoSpaceDN w:val="0"/>
        <w:bidi w:val="0"/>
        <w:adjustRightInd w:val="0"/>
        <w:snapToGrid/>
        <w:spacing w:line="590" w:lineRule="exact"/>
        <w:ind w:firstLine="640" w:firstLineChars="200"/>
        <w:jc w:val="both"/>
        <w:textAlignment w:val="auto"/>
        <w:rPr>
          <w:rFonts w:hint="default" w:ascii="仿宋_GB2312" w:hAnsi="仿宋_GB2312" w:eastAsia="仿宋_GB2312" w:cs="仿宋_GB2312"/>
          <w:b w:val="0"/>
          <w:bCs w:val="0"/>
          <w:snapToGrid w:val="0"/>
          <w:color w:val="auto"/>
          <w:spacing w:val="0"/>
          <w:kern w:val="0"/>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auto"/>
    <w:pitch w:val="default"/>
    <w:sig w:usb0="A00002BF" w:usb1="38CF7CFA" w:usb2="00082016" w:usb3="00000000" w:csb0="00040001" w:csb1="00000000"/>
  </w:font>
  <w:font w:name="方正小标宋简体">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5"/>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亳州市安全生产委员会发布     </w:t>
    </w:r>
  </w:p>
  <w:p>
    <w:pPr>
      <w:pStyle w:val="5"/>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亳州市安全生产委员会规范性文件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YyYmFhZGQ0MTNiMjJhNWM1Y2U5Y2IwYjNjNzJhYzAifQ=="/>
  </w:docVars>
  <w:rsids>
    <w:rsidRoot w:val="00172A27"/>
    <w:rsid w:val="019E71BD"/>
    <w:rsid w:val="03BE7AB1"/>
    <w:rsid w:val="04587326"/>
    <w:rsid w:val="04B679C3"/>
    <w:rsid w:val="05EF2E58"/>
    <w:rsid w:val="07051715"/>
    <w:rsid w:val="080F63D8"/>
    <w:rsid w:val="08CE0793"/>
    <w:rsid w:val="09341458"/>
    <w:rsid w:val="0B0912D7"/>
    <w:rsid w:val="0EA67BD0"/>
    <w:rsid w:val="152D2DCA"/>
    <w:rsid w:val="16565742"/>
    <w:rsid w:val="198C7FDB"/>
    <w:rsid w:val="1DEC284C"/>
    <w:rsid w:val="1E6523AC"/>
    <w:rsid w:val="217A66EA"/>
    <w:rsid w:val="22440422"/>
    <w:rsid w:val="28E676D0"/>
    <w:rsid w:val="29B835B8"/>
    <w:rsid w:val="2A402285"/>
    <w:rsid w:val="2A410B22"/>
    <w:rsid w:val="31A15F24"/>
    <w:rsid w:val="352C15F4"/>
    <w:rsid w:val="395347B5"/>
    <w:rsid w:val="39A232A0"/>
    <w:rsid w:val="39D907EC"/>
    <w:rsid w:val="39E745AA"/>
    <w:rsid w:val="3B5A6BBB"/>
    <w:rsid w:val="3CC50082"/>
    <w:rsid w:val="3EDA13A6"/>
    <w:rsid w:val="40650E7A"/>
    <w:rsid w:val="421069A3"/>
    <w:rsid w:val="42F058B7"/>
    <w:rsid w:val="436109F6"/>
    <w:rsid w:val="43ED1C06"/>
    <w:rsid w:val="441A38D4"/>
    <w:rsid w:val="4BC77339"/>
    <w:rsid w:val="4BEF7DD1"/>
    <w:rsid w:val="4C9236C5"/>
    <w:rsid w:val="4E335ED4"/>
    <w:rsid w:val="505C172E"/>
    <w:rsid w:val="52F46F0B"/>
    <w:rsid w:val="5377138E"/>
    <w:rsid w:val="53D8014D"/>
    <w:rsid w:val="540D401E"/>
    <w:rsid w:val="55E064E0"/>
    <w:rsid w:val="572C6D10"/>
    <w:rsid w:val="59EE36A9"/>
    <w:rsid w:val="5DC34279"/>
    <w:rsid w:val="608816D1"/>
    <w:rsid w:val="60EF4E7F"/>
    <w:rsid w:val="659C3AAC"/>
    <w:rsid w:val="665233C1"/>
    <w:rsid w:val="68861AD6"/>
    <w:rsid w:val="6AD9688B"/>
    <w:rsid w:val="6CF03552"/>
    <w:rsid w:val="6D0E3F22"/>
    <w:rsid w:val="6D5C4EAF"/>
    <w:rsid w:val="6F702D04"/>
    <w:rsid w:val="70963F07"/>
    <w:rsid w:val="77A0219D"/>
    <w:rsid w:val="7BAF13D5"/>
    <w:rsid w:val="7C9011D9"/>
    <w:rsid w:val="7D3730A7"/>
    <w:rsid w:val="7DC651C5"/>
    <w:rsid w:val="7E16758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next w:val="1"/>
    <w:uiPriority w:val="0"/>
    <w:pPr>
      <w:autoSpaceDE w:val="0"/>
      <w:autoSpaceDN w:val="0"/>
      <w:adjustRightInd w:val="0"/>
      <w:snapToGrid/>
      <w:ind w:firstLine="0"/>
      <w:jc w:val="left"/>
    </w:pPr>
    <w:rPr>
      <w:spacing w:val="-25"/>
      <w:kern w:val="0"/>
    </w:r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bCs/>
    </w:rPr>
  </w:style>
  <w:style w:type="paragraph" w:customStyle="1" w:styleId="10">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1155</Words>
  <Characters>1175</Characters>
  <Lines>1</Lines>
  <Paragraphs>1</Paragraphs>
  <TotalTime>5</TotalTime>
  <ScaleCrop>false</ScaleCrop>
  <LinksUpToDate>false</LinksUpToDate>
  <CharactersWithSpaces>1193</CharactersWithSpaces>
  <Application>WPS Office_11.1.0.13607_F1E327BC-269C-435d-A152-05C5408002CA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大力丸子</cp:lastModifiedBy>
  <cp:lastPrinted>2021-10-26T03:30:00Z</cp:lastPrinted>
  <dcterms:modified xsi:type="dcterms:W3CDTF">2022-12-05T08:15:21Z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2052-11.1.0.13607</vt:lpwstr>
  </property>
  <property fmtid="{D5CDD505-2E9C-101B-9397-08002B2CF9AE}" pid="3" name="ICV">
    <vt:lpwstr>EF8DA3E483584E6997E82FD3A622DD5C</vt:lpwstr>
  </property>
</Properties>
</file>