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20" w:lineRule="exact"/>
        <w:jc w:val="both"/>
        <w:textAlignment w:val="auto"/>
        <w:rPr>
          <w:rStyle w:val="19"/>
          <w:rFonts w:hint="eastAsia" w:ascii="方正小标宋简体" w:hAnsi="方正小标宋简体" w:eastAsia="方正小标宋简体" w:cs="方正小标宋简体"/>
          <w:b w:val="0"/>
          <w:bCs w:val="0"/>
          <w:color w:val="auto"/>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napToGrid/>
          <w:kern w:val="2"/>
          <w:sz w:val="44"/>
          <w:szCs w:val="44"/>
          <w:lang w:eastAsia="zh-CN"/>
        </w:rPr>
      </w:pPr>
      <w:r>
        <w:rPr>
          <w:rFonts w:hint="eastAsia" w:ascii="方正小标宋简体" w:hAnsi="方正小标宋简体" w:eastAsia="方正小标宋简体" w:cs="方正小标宋简体"/>
          <w:snapToGrid/>
          <w:kern w:val="2"/>
          <w:sz w:val="44"/>
          <w:szCs w:val="44"/>
          <w:lang w:eastAsia="zh-CN"/>
        </w:rPr>
        <w:t>关于印发《亳州市安全生产治本攻坚三年行动实施方案(2024—2026年)》的通知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sz w:val="32"/>
          <w:szCs w:val="32"/>
          <w:lang w:eastAsia="zh-CN"/>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jc w:val="both"/>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各县、区人民政府，亳州高新区管委会、亳芜现代产业园区管委会，市安委会各成员单位，中央、省驻亳单位及市属企业：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640" w:firstLineChars="200"/>
        <w:jc w:val="both"/>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亳州市安全生产治本攻坚三年行动实施方案(2024—2026年)》已经市政府同意，现印发给你们，请结合实际认真贯彻落实。各县区安委会、市安委会各有关成员单位要加强工作统筹，及时将重点工作完成情况和阶段性工作进展报市安委会办公室。</w:t>
      </w:r>
    </w:p>
    <w:p>
      <w:pPr>
        <w:pStyle w:val="13"/>
        <w:keepNext w:val="0"/>
        <w:keepLines w:val="0"/>
        <w:pageBreakBefore w:val="0"/>
        <w:wordWrap/>
        <w:overflowPunct/>
        <w:topLinePunct w:val="0"/>
        <w:bidi w:val="0"/>
        <w:spacing w:after="0" w:line="580" w:lineRule="exact"/>
        <w:ind w:left="0" w:leftChars="0"/>
        <w:rPr>
          <w:rFonts w:hint="eastAsia" w:ascii="仿宋" w:hAnsi="仿宋" w:eastAsia="仿宋" w:cs="仿宋"/>
          <w:sz w:val="32"/>
          <w:szCs w:val="32"/>
          <w:lang w:eastAsia="zh-CN"/>
        </w:rPr>
      </w:pPr>
    </w:p>
    <w:p>
      <w:pPr>
        <w:pStyle w:val="13"/>
        <w:keepNext w:val="0"/>
        <w:keepLines w:val="0"/>
        <w:pageBreakBefore w:val="0"/>
        <w:wordWrap/>
        <w:overflowPunct/>
        <w:topLinePunct w:val="0"/>
        <w:bidi w:val="0"/>
        <w:spacing w:after="0" w:line="580" w:lineRule="exact"/>
        <w:ind w:firstLine="4160" w:firstLineChars="1300"/>
        <w:rPr>
          <w:rFonts w:hint="eastAsia" w:ascii="仿宋" w:hAnsi="仿宋" w:eastAsia="仿宋" w:cs="仿宋"/>
          <w:sz w:val="32"/>
          <w:szCs w:val="32"/>
          <w:lang w:eastAsia="zh-CN"/>
        </w:rPr>
      </w:pPr>
    </w:p>
    <w:p>
      <w:pPr>
        <w:pStyle w:val="13"/>
        <w:keepNext w:val="0"/>
        <w:keepLines w:val="0"/>
        <w:pageBreakBefore w:val="0"/>
        <w:widowControl w:val="0"/>
        <w:kinsoku/>
        <w:wordWrap/>
        <w:overflowPunct/>
        <w:topLinePunct w:val="0"/>
        <w:autoSpaceDE/>
        <w:autoSpaceDN/>
        <w:bidi w:val="0"/>
        <w:adjustRightInd/>
        <w:snapToGrid/>
        <w:spacing w:after="0" w:line="580" w:lineRule="exact"/>
        <w:ind w:firstLine="3840" w:firstLineChars="1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亳州市安全生产委员会</w:t>
      </w:r>
    </w:p>
    <w:p>
      <w:pPr>
        <w:pStyle w:val="7"/>
        <w:keepNext w:val="0"/>
        <w:keepLines w:val="0"/>
        <w:pageBreakBefore w:val="0"/>
        <w:widowControl w:val="0"/>
        <w:kinsoku/>
        <w:wordWrap/>
        <w:overflowPunct/>
        <w:topLinePunct w:val="0"/>
        <w:autoSpaceDE/>
        <w:autoSpaceDN/>
        <w:bidi w:val="0"/>
        <w:adjustRightInd/>
        <w:snapToGrid/>
        <w:spacing w:after="0" w:line="580" w:lineRule="exact"/>
        <w:ind w:firstLine="4160" w:firstLineChars="13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2024年2月21日</w:t>
      </w:r>
    </w:p>
    <w:p>
      <w:pPr>
        <w:spacing w:line="560" w:lineRule="exact"/>
        <w:jc w:val="both"/>
        <w:rPr>
          <w:rFonts w:hint="eastAsia" w:ascii="方正小标宋简体" w:hAnsi="方正小标宋简体" w:eastAsia="方正小标宋简体" w:cs="方正小标宋简体"/>
          <w:sz w:val="44"/>
          <w:szCs w:val="44"/>
          <w:lang w:eastAsia="zh-CN"/>
        </w:rPr>
      </w:pPr>
    </w:p>
    <w:p>
      <w:pPr>
        <w:pStyle w:val="7"/>
        <w:ind w:left="0" w:leftChars="0" w:firstLine="0" w:firstLineChars="0"/>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p>
    <w:p>
      <w:pPr>
        <w:pStyle w:val="2"/>
        <w:rPr>
          <w:rFonts w:hint="eastAsia" w:ascii="方正小标宋简体" w:hAnsi="方正小标宋简体" w:eastAsia="方正小标宋简体" w:cs="方正小标宋简体"/>
          <w:sz w:val="44"/>
          <w:szCs w:val="44"/>
          <w:lang w:eastAsia="zh-CN"/>
        </w:rPr>
      </w:pPr>
    </w:p>
    <w:p>
      <w:pPr>
        <w:pStyle w:val="3"/>
        <w:rPr>
          <w:rFonts w:hint="eastAsia" w:ascii="方正小标宋简体" w:hAnsi="方正小标宋简体" w:eastAsia="方正小标宋简体" w:cs="方正小标宋简体"/>
          <w:sz w:val="44"/>
          <w:szCs w:val="44"/>
          <w:lang w:eastAsia="zh-CN"/>
        </w:rPr>
      </w:pPr>
    </w:p>
    <w:p>
      <w:pPr>
        <w:pStyle w:val="4"/>
        <w:rPr>
          <w:rFonts w:hint="eastAsia"/>
          <w:lang w:eastAsia="zh-CN"/>
        </w:rPr>
      </w:pP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亳州</w:t>
      </w:r>
      <w:r>
        <w:rPr>
          <w:rFonts w:hint="eastAsia" w:ascii="方正小标宋简体" w:hAnsi="方正小标宋简体" w:eastAsia="方正小标宋简体" w:cs="方正小标宋简体"/>
          <w:sz w:val="44"/>
          <w:szCs w:val="44"/>
        </w:rPr>
        <w:t>市</w:t>
      </w:r>
      <w:r>
        <w:rPr>
          <w:rFonts w:hint="eastAsia" w:ascii="方正小标宋简体" w:hAnsi="方正小标宋简体" w:eastAsia="方正小标宋简体" w:cs="方正小标宋简体"/>
          <w:sz w:val="44"/>
          <w:szCs w:val="44"/>
          <w:lang w:eastAsia="zh-CN"/>
        </w:rPr>
        <w:t>安全生产治本攻坚三年行动</w:t>
      </w:r>
    </w:p>
    <w:p>
      <w:pPr>
        <w:keepNext w:val="0"/>
        <w:keepLines w:val="0"/>
        <w:pageBreakBefore w:val="0"/>
        <w:wordWrap/>
        <w:overflowPunct/>
        <w:topLinePunct w:val="0"/>
        <w:bidi w:val="0"/>
        <w:spacing w:line="530" w:lineRule="exact"/>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实施方案(2024—2026年)</w:t>
      </w:r>
    </w:p>
    <w:p>
      <w:pPr>
        <w:keepNext w:val="0"/>
        <w:keepLines w:val="0"/>
        <w:pageBreakBefore w:val="0"/>
        <w:wordWrap/>
        <w:overflowPunct/>
        <w:topLinePunct w:val="0"/>
        <w:bidi w:val="0"/>
        <w:spacing w:line="530" w:lineRule="exact"/>
        <w:ind w:firstLine="640" w:firstLineChars="200"/>
        <w:rPr>
          <w:rFonts w:ascii="仿宋" w:hAnsi="仿宋" w:eastAsia="仿宋"/>
          <w:sz w:val="32"/>
          <w:szCs w:val="32"/>
          <w:lang w:eastAsia="zh-CN"/>
        </w:rPr>
      </w:pP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hint="eastAsia" w:ascii="仿宋" w:hAnsi="仿宋" w:eastAsia="仿宋" w:cs="宋体"/>
          <w:color w:val="000000" w:themeColor="text1"/>
          <w:sz w:val="32"/>
          <w:szCs w:val="32"/>
          <w:u w:val="none"/>
          <w:lang w:eastAsia="zh-CN"/>
          <w14:textFill>
            <w14:solidFill>
              <w14:schemeClr w14:val="tx1"/>
            </w14:solidFill>
          </w14:textFill>
        </w:rPr>
        <w:t>为认真贯彻落实习近平总书记关于安全生产系列重要指示精神和党中央、国务院决策部署，全面落实省委、省政府和市委、市政府要求，坚持人民至上、生命至上，进一步夯实安全生产工作基础，从根本上消除事故隐患，有效防范遏制较大及以上生产安全事故，按照国务院安委会、省安委会统一部署，结合亳州实际，制定本实施方案。</w:t>
      </w:r>
    </w:p>
    <w:p>
      <w:pPr>
        <w:keepNext w:val="0"/>
        <w:keepLines w:val="0"/>
        <w:pageBreakBefore w:val="0"/>
        <w:wordWrap/>
        <w:overflowPunct/>
        <w:topLinePunct w:val="0"/>
        <w:bidi w:val="0"/>
        <w:spacing w:line="560" w:lineRule="exact"/>
        <w:ind w:firstLine="640" w:firstLineChars="200"/>
        <w:jc w:val="both"/>
        <w:rPr>
          <w:rFonts w:ascii="黑体" w:hAnsi="黑体" w:eastAsia="黑体"/>
          <w:color w:val="000000" w:themeColor="text1"/>
          <w:sz w:val="32"/>
          <w:szCs w:val="32"/>
          <w:u w:val="none"/>
          <w:lang w:eastAsia="zh-CN"/>
          <w14:textFill>
            <w14:solidFill>
              <w14:schemeClr w14:val="tx1"/>
            </w14:solidFill>
          </w14:textFill>
        </w:rPr>
      </w:pPr>
      <w:r>
        <w:rPr>
          <w:rFonts w:hint="eastAsia" w:ascii="黑体" w:hAnsi="黑体" w:eastAsia="黑体" w:cs="宋体"/>
          <w:color w:val="000000" w:themeColor="text1"/>
          <w:sz w:val="32"/>
          <w:szCs w:val="32"/>
          <w:u w:val="none"/>
          <w:lang w:eastAsia="zh-CN"/>
          <w14:textFill>
            <w14:solidFill>
              <w14:schemeClr w14:val="tx1"/>
            </w14:solidFill>
          </w14:textFill>
        </w:rPr>
        <w:t>一、总体要求</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hint="eastAsia" w:ascii="仿宋" w:hAnsi="仿宋" w:eastAsia="仿宋" w:cs="宋体"/>
          <w:color w:val="000000" w:themeColor="text1"/>
          <w:sz w:val="32"/>
          <w:szCs w:val="32"/>
          <w:u w:val="none"/>
          <w:lang w:eastAsia="zh-CN"/>
          <w14:textFill>
            <w14:solidFill>
              <w14:schemeClr w14:val="tx1"/>
            </w14:solidFill>
          </w14:textFill>
        </w:rPr>
        <w:t>以习近平新时代中国特色社会主义思想为指导，全面贯彻党的二十大精神，统筹发展和安全，坚持人民至上、生命至上，坚持安全第一、预防为主、综合治理，坚持标本兼治、重在治本，着力消减重大安全风险，着力消除重大事故隐患。开展安全生产治本攻坚</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十大行动</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落细落实安全生产十五条硬措施，在安全理念、安全责任、安全规划、安全法治、安全标准、安全科技、安全工程、安全素质等方面补短板、强弱项，切实提高风险隐患排查整改质量、切实提升发现问题和解决问题的强烈意愿和能力水平，推动重大事故隐患动态清零，不断提升本质安全水平，加快推进安全生产治理体系和治理能力现代化，努力推进高质量发展和高水平安全良性互动。</w:t>
      </w:r>
    </w:p>
    <w:p>
      <w:pPr>
        <w:keepNext w:val="0"/>
        <w:keepLines w:val="0"/>
        <w:pageBreakBefore w:val="0"/>
        <w:wordWrap/>
        <w:overflowPunct/>
        <w:topLinePunct w:val="0"/>
        <w:bidi w:val="0"/>
        <w:spacing w:line="560" w:lineRule="exact"/>
        <w:ind w:firstLine="640" w:firstLineChars="200"/>
        <w:jc w:val="both"/>
        <w:rPr>
          <w:rFonts w:hint="eastAsia" w:ascii="黑体" w:hAnsi="黑体" w:eastAsia="黑体" w:cs="宋体"/>
          <w:color w:val="000000" w:themeColor="text1"/>
          <w:sz w:val="32"/>
          <w:szCs w:val="32"/>
          <w:u w:val="none"/>
          <w:lang w:eastAsia="zh-CN"/>
          <w14:textFill>
            <w14:solidFill>
              <w14:schemeClr w14:val="tx1"/>
            </w14:solidFill>
          </w14:textFill>
        </w:rPr>
      </w:pPr>
      <w:r>
        <w:rPr>
          <w:rFonts w:hint="eastAsia" w:ascii="黑体" w:hAnsi="黑体" w:eastAsia="黑体" w:cs="宋体"/>
          <w:color w:val="000000" w:themeColor="text1"/>
          <w:sz w:val="32"/>
          <w:szCs w:val="32"/>
          <w:u w:val="none"/>
          <w:lang w:eastAsia="zh-CN"/>
          <w14:textFill>
            <w14:solidFill>
              <w14:schemeClr w14:val="tx1"/>
            </w14:solidFill>
          </w14:textFill>
        </w:rPr>
        <w:t>二、主要任务</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hint="eastAsia" w:ascii="仿宋" w:hAnsi="仿宋" w:eastAsia="仿宋" w:cs="宋体"/>
          <w:color w:val="000000" w:themeColor="text1"/>
          <w:sz w:val="32"/>
          <w:szCs w:val="32"/>
          <w:u w:val="none"/>
          <w:lang w:eastAsia="zh-CN"/>
          <w14:textFill>
            <w14:solidFill>
              <w14:schemeClr w14:val="tx1"/>
            </w14:solidFill>
          </w14:textFill>
        </w:rPr>
        <w:t>通过三年治本攻坚，全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各级党委政府、部门和生产经营单位统筹安全发展理念更加牢固，自觉履行安全责任、坚守安全红线的意识更加牢固，加强安全基层基础能力建设、消减重大安全风险、消除重大事故隐患更加主动</w:t>
      </w:r>
      <w:r>
        <w:rPr>
          <w:rFonts w:hint="eastAsia" w:ascii="仿宋" w:hAnsi="仿宋" w:eastAsia="仿宋" w:cs="宋体"/>
          <w:color w:val="000000" w:themeColor="text1"/>
          <w:sz w:val="32"/>
          <w:szCs w:val="32"/>
          <w:u w:val="none"/>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重点行业领域健全完善</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一件事</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由牵头部门组织推动、各相关部门齐抓共管，全链条排查整治重大事故隐患的责任体系、安全监管能力显著提升；</w:t>
      </w:r>
      <w:r>
        <w:rPr>
          <w:rFonts w:ascii="仿宋" w:hAnsi="仿宋" w:eastAsia="仿宋"/>
          <w:color w:val="000000" w:themeColor="text1"/>
          <w:sz w:val="32"/>
          <w:szCs w:val="32"/>
          <w:u w:val="none"/>
          <w:lang w:eastAsia="zh-CN"/>
          <w14:textFill>
            <w14:solidFill>
              <w14:schemeClr w14:val="tx1"/>
            </w14:solidFill>
          </w14:textFill>
        </w:rPr>
        <w:t>2024</w:t>
      </w:r>
      <w:r>
        <w:rPr>
          <w:rFonts w:hint="eastAsia" w:ascii="仿宋" w:hAnsi="仿宋" w:eastAsia="仿宋" w:cs="宋体"/>
          <w:color w:val="000000" w:themeColor="text1"/>
          <w:sz w:val="32"/>
          <w:szCs w:val="32"/>
          <w:u w:val="none"/>
          <w:lang w:eastAsia="zh-CN"/>
          <w14:textFill>
            <w14:solidFill>
              <w14:schemeClr w14:val="tx1"/>
            </w14:solidFill>
          </w14:textFill>
        </w:rPr>
        <w:t>年底前基本消除</w:t>
      </w:r>
      <w:r>
        <w:rPr>
          <w:rFonts w:ascii="仿宋" w:hAnsi="仿宋" w:eastAsia="仿宋"/>
          <w:color w:val="000000" w:themeColor="text1"/>
          <w:sz w:val="32"/>
          <w:szCs w:val="32"/>
          <w:u w:val="none"/>
          <w:lang w:eastAsia="zh-CN"/>
          <w14:textFill>
            <w14:solidFill>
              <w14:schemeClr w14:val="tx1"/>
            </w14:solidFill>
          </w14:textFill>
        </w:rPr>
        <w:t>2023</w:t>
      </w:r>
      <w:r>
        <w:rPr>
          <w:rFonts w:hint="eastAsia" w:ascii="仿宋" w:hAnsi="仿宋" w:eastAsia="仿宋" w:cs="宋体"/>
          <w:color w:val="000000" w:themeColor="text1"/>
          <w:sz w:val="32"/>
          <w:szCs w:val="32"/>
          <w:u w:val="none"/>
          <w:lang w:eastAsia="zh-CN"/>
          <w14:textFill>
            <w14:solidFill>
              <w14:schemeClr w14:val="tx1"/>
            </w14:solidFill>
          </w14:textFill>
        </w:rPr>
        <w:t>年及以前排查发现的重大事故隐患存量，</w:t>
      </w:r>
      <w:r>
        <w:rPr>
          <w:rFonts w:ascii="仿宋" w:hAnsi="仿宋" w:eastAsia="仿宋"/>
          <w:color w:val="000000" w:themeColor="text1"/>
          <w:sz w:val="32"/>
          <w:szCs w:val="32"/>
          <w:u w:val="none"/>
          <w:lang w:eastAsia="zh-CN"/>
          <w14:textFill>
            <w14:solidFill>
              <w14:schemeClr w14:val="tx1"/>
            </w14:solidFill>
          </w14:textFill>
        </w:rPr>
        <w:t>2025</w:t>
      </w:r>
      <w:r>
        <w:rPr>
          <w:rFonts w:hint="eastAsia" w:ascii="仿宋" w:hAnsi="仿宋" w:eastAsia="仿宋" w:cs="宋体"/>
          <w:color w:val="000000" w:themeColor="text1"/>
          <w:sz w:val="32"/>
          <w:szCs w:val="32"/>
          <w:u w:val="none"/>
          <w:lang w:eastAsia="zh-CN"/>
          <w14:textFill>
            <w14:solidFill>
              <w14:schemeClr w14:val="tx1"/>
            </w14:solidFill>
          </w14:textFill>
        </w:rPr>
        <w:t>年底前有效压减重大事故隐患增量，</w:t>
      </w:r>
      <w:r>
        <w:rPr>
          <w:rFonts w:ascii="仿宋" w:hAnsi="仿宋" w:eastAsia="仿宋"/>
          <w:color w:val="000000" w:themeColor="text1"/>
          <w:sz w:val="32"/>
          <w:szCs w:val="32"/>
          <w:u w:val="none"/>
          <w:lang w:eastAsia="zh-CN"/>
          <w14:textFill>
            <w14:solidFill>
              <w14:schemeClr w14:val="tx1"/>
            </w14:solidFill>
          </w14:textFill>
        </w:rPr>
        <w:t>2026</w:t>
      </w:r>
      <w:r>
        <w:rPr>
          <w:rFonts w:hint="eastAsia" w:ascii="仿宋" w:hAnsi="仿宋" w:eastAsia="仿宋" w:cs="宋体"/>
          <w:color w:val="000000" w:themeColor="text1"/>
          <w:sz w:val="32"/>
          <w:szCs w:val="32"/>
          <w:u w:val="none"/>
          <w:lang w:eastAsia="zh-CN"/>
          <w14:textFill>
            <w14:solidFill>
              <w14:schemeClr w14:val="tx1"/>
            </w14:solidFill>
          </w14:textFill>
        </w:rPr>
        <w:t>年底前形成重大事故隐患动态清零的常态化机制；针对防范重大安全风险的一批</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人防、技防、工程防、管理防</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措施落地见效，本质安全水平大幅提升；坚决遏制重特大事故，有效防范较大事故，力争减少一般事故，继续保持事故起数和死亡人数</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双下降</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确保我</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安全生产形势持续稳定。</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一</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安全生产责任落实行动。</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宋体"/>
          <w:color w:val="auto"/>
          <w:sz w:val="32"/>
          <w:szCs w:val="32"/>
          <w:u w:val="none"/>
          <w:lang w:eastAsia="zh-CN"/>
        </w:rPr>
      </w:pPr>
      <w:r>
        <w:rPr>
          <w:rFonts w:ascii="仿宋" w:hAnsi="仿宋" w:eastAsia="仿宋"/>
          <w:color w:val="auto"/>
          <w:sz w:val="32"/>
          <w:szCs w:val="32"/>
          <w:u w:val="none"/>
          <w:lang w:eastAsia="zh-CN"/>
        </w:rPr>
        <w:t>1</w:t>
      </w:r>
      <w:r>
        <w:rPr>
          <w:rFonts w:hint="eastAsia" w:ascii="仿宋" w:hAnsi="仿宋" w:eastAsia="仿宋"/>
          <w:color w:val="auto"/>
          <w:sz w:val="32"/>
          <w:szCs w:val="32"/>
          <w:u w:val="none"/>
          <w:lang w:val="en-US" w:eastAsia="zh-CN"/>
        </w:rPr>
        <w:t>.</w:t>
      </w:r>
      <w:r>
        <w:rPr>
          <w:rFonts w:hint="eastAsia" w:ascii="仿宋" w:hAnsi="仿宋" w:eastAsia="仿宋" w:cs="宋体"/>
          <w:color w:val="auto"/>
          <w:sz w:val="32"/>
          <w:szCs w:val="32"/>
          <w:u w:val="none"/>
          <w:lang w:eastAsia="zh-CN"/>
        </w:rPr>
        <w:t>开展安全生产督导。以</w:t>
      </w:r>
      <w:r>
        <w:rPr>
          <w:rFonts w:hint="eastAsia" w:ascii="仿宋" w:hAnsi="仿宋" w:eastAsia="仿宋" w:cs="宋体"/>
          <w:color w:val="auto"/>
          <w:sz w:val="32"/>
          <w:szCs w:val="32"/>
          <w:u w:val="none"/>
        </w:rPr>
        <w:t>市</w:t>
      </w:r>
      <w:r>
        <w:rPr>
          <w:rFonts w:hint="eastAsia" w:ascii="仿宋" w:hAnsi="仿宋" w:eastAsia="仿宋" w:cs="宋体"/>
          <w:color w:val="auto"/>
          <w:sz w:val="32"/>
          <w:szCs w:val="32"/>
          <w:u w:val="none"/>
          <w:lang w:eastAsia="zh-CN"/>
        </w:rPr>
        <w:t>安委会名义开展安全生产督导，组长由</w:t>
      </w:r>
      <w:r>
        <w:rPr>
          <w:rFonts w:hint="eastAsia" w:ascii="仿宋" w:hAnsi="仿宋" w:eastAsia="仿宋" w:cs="宋体"/>
          <w:color w:val="auto"/>
          <w:sz w:val="32"/>
          <w:szCs w:val="32"/>
          <w:u w:val="none"/>
        </w:rPr>
        <w:t>市</w:t>
      </w:r>
      <w:r>
        <w:rPr>
          <w:rFonts w:hint="eastAsia" w:ascii="仿宋" w:hAnsi="仿宋" w:eastAsia="仿宋" w:cs="宋体"/>
          <w:color w:val="auto"/>
          <w:sz w:val="32"/>
          <w:szCs w:val="32"/>
          <w:u w:val="none"/>
          <w:lang w:eastAsia="zh-CN"/>
        </w:rPr>
        <w:t>安委会成员单位副</w:t>
      </w:r>
      <w:r>
        <w:rPr>
          <w:rFonts w:hint="eastAsia" w:ascii="仿宋" w:hAnsi="仿宋" w:eastAsia="仿宋" w:cs="宋体"/>
          <w:color w:val="auto"/>
          <w:sz w:val="32"/>
          <w:szCs w:val="32"/>
          <w:u w:val="none"/>
        </w:rPr>
        <w:t>处</w:t>
      </w:r>
      <w:r>
        <w:rPr>
          <w:rFonts w:hint="eastAsia" w:ascii="仿宋" w:hAnsi="仿宋" w:eastAsia="仿宋" w:cs="宋体"/>
          <w:color w:val="auto"/>
          <w:sz w:val="32"/>
          <w:szCs w:val="32"/>
          <w:u w:val="none"/>
          <w:lang w:eastAsia="zh-CN"/>
        </w:rPr>
        <w:t>级干部担任，以党中央、国务院及省委、省政府</w:t>
      </w:r>
      <w:r>
        <w:rPr>
          <w:rFonts w:hint="eastAsia" w:ascii="仿宋" w:hAnsi="仿宋" w:eastAsia="仿宋" w:cs="宋体"/>
          <w:color w:val="auto"/>
          <w:sz w:val="32"/>
          <w:szCs w:val="32"/>
          <w:u w:val="none"/>
        </w:rPr>
        <w:t>和市委、市政府</w:t>
      </w:r>
      <w:r>
        <w:rPr>
          <w:rFonts w:hint="eastAsia" w:ascii="仿宋" w:hAnsi="仿宋" w:eastAsia="仿宋" w:cs="宋体"/>
          <w:color w:val="auto"/>
          <w:sz w:val="32"/>
          <w:szCs w:val="32"/>
          <w:u w:val="none"/>
          <w:lang w:eastAsia="zh-CN"/>
        </w:rPr>
        <w:t>关于安全生产工作的重大决策部署和具有全局性、牵引性的重点工作任务作为督导重点，聚焦阶段性重点任务、重点行业专项治理、重点时段突出问题，强化全过程督促指导，着力帮助各地找准安全生产领域源头性、根本性问题。每季度对每个包保的</w:t>
      </w:r>
      <w:r>
        <w:rPr>
          <w:rFonts w:hint="eastAsia" w:ascii="仿宋" w:hAnsi="仿宋" w:eastAsia="仿宋" w:cs="宋体"/>
          <w:color w:val="auto"/>
          <w:sz w:val="32"/>
          <w:szCs w:val="32"/>
          <w:u w:val="none"/>
        </w:rPr>
        <w:t>县区、开发园区</w:t>
      </w:r>
      <w:r>
        <w:rPr>
          <w:rFonts w:hint="eastAsia" w:ascii="仿宋" w:hAnsi="仿宋" w:eastAsia="仿宋" w:cs="宋体"/>
          <w:color w:val="auto"/>
          <w:sz w:val="32"/>
          <w:szCs w:val="32"/>
          <w:u w:val="none"/>
          <w:lang w:eastAsia="zh-CN"/>
        </w:rPr>
        <w:t>开展一次不少于</w:t>
      </w:r>
      <w:r>
        <w:rPr>
          <w:rFonts w:hint="eastAsia" w:ascii="仿宋" w:hAnsi="仿宋" w:eastAsia="仿宋"/>
          <w:color w:val="auto"/>
          <w:sz w:val="32"/>
          <w:szCs w:val="32"/>
          <w:u w:val="none"/>
          <w:lang w:val="en-US" w:eastAsia="zh-CN"/>
        </w:rPr>
        <w:t>2</w:t>
      </w:r>
      <w:r>
        <w:rPr>
          <w:rFonts w:hint="eastAsia" w:ascii="仿宋" w:hAnsi="仿宋" w:eastAsia="仿宋" w:cs="宋体"/>
          <w:color w:val="auto"/>
          <w:sz w:val="32"/>
          <w:szCs w:val="32"/>
          <w:u w:val="none"/>
          <w:lang w:eastAsia="zh-CN"/>
        </w:rPr>
        <w:t>天的督导，进一步提高安全生产工作摆位。对发现的党政领导干部在安全生产工作中不作为、乱作为或失职渎职、滥用职权等情形以及督导整改不力等情况，依法依规移交有关部门调查处理。</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仿宋" w:hAnsi="仿宋" w:eastAsia="仿宋"/>
          <w:color w:val="000000" w:themeColor="text1"/>
          <w:sz w:val="32"/>
          <w:szCs w:val="32"/>
          <w:u w:val="none"/>
          <w:lang w:eastAsia="zh-CN"/>
          <w14:textFill>
            <w14:solidFill>
              <w14:schemeClr w14:val="tx1"/>
            </w14:solidFill>
          </w14:textFill>
        </w:rPr>
        <w:t>2</w:t>
      </w:r>
      <w:r>
        <w:rPr>
          <w:rFonts w:hint="eastAsia" w:ascii="仿宋" w:hAnsi="仿宋" w:eastAsia="仿宋"/>
          <w:color w:val="000000" w:themeColor="text1"/>
          <w:sz w:val="32"/>
          <w:szCs w:val="32"/>
          <w:u w:val="none"/>
          <w:lang w:val="en-US"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压实地方党委、政府安全生产责任。充分发挥安全生产考核、季度“赛马”指挥棒作用，促进地方党委、政府认真学习贯彻习近平</w:t>
      </w:r>
      <w:bookmarkStart w:id="0" w:name="_GoBack"/>
      <w:bookmarkEnd w:id="0"/>
      <w:r>
        <w:rPr>
          <w:rFonts w:hint="eastAsia" w:ascii="仿宋" w:hAnsi="仿宋" w:eastAsia="仿宋" w:cs="宋体"/>
          <w:color w:val="000000" w:themeColor="text1"/>
          <w:sz w:val="32"/>
          <w:szCs w:val="32"/>
          <w:u w:val="none"/>
          <w:lang w:eastAsia="zh-CN"/>
          <w14:textFill>
            <w14:solidFill>
              <w14:schemeClr w14:val="tx1"/>
            </w14:solidFill>
          </w14:textFill>
        </w:rPr>
        <w:t>总书记关于安全生产重要论述，自觉承担促一方发展保一方平安的政治责任，牢固树立不能以牺牲人民的生命为代价的观念，严格落实地方党政领导干部安全生产责任制规定，严格落实</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党政同责、一岗双责、齐抓共管、失职追责</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严格落实党政领导安全生产履责述职和</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第一责任人</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职责落实报告制度，切实加强安全生产工作，开展重要节日和重大活动针对性督查检查。</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3.压实行业部门安全生产责任。按照“三管三必须”责任清单</w:t>
      </w:r>
      <w:r>
        <w:rPr>
          <w:rFonts w:hint="eastAsia" w:ascii="仿宋" w:hAnsi="仿宋" w:eastAsia="仿宋" w:cs="仿宋"/>
          <w:color w:val="000000" w:themeColor="text1"/>
          <w:sz w:val="32"/>
          <w:szCs w:val="32"/>
          <w:u w:val="none"/>
          <w14:textFill>
            <w14:solidFill>
              <w14:schemeClr w14:val="tx1"/>
            </w14:solidFill>
          </w14:textFill>
        </w:rPr>
        <w:t>及</w:t>
      </w:r>
      <w:r>
        <w:rPr>
          <w:rFonts w:hint="eastAsia" w:ascii="仿宋" w:hAnsi="仿宋" w:eastAsia="仿宋" w:cs="仿宋"/>
          <w:color w:val="000000" w:themeColor="text1"/>
          <w:sz w:val="32"/>
          <w:szCs w:val="32"/>
          <w:u w:val="none"/>
          <w:lang w:eastAsia="zh-CN"/>
          <w14:textFill>
            <w14:solidFill>
              <w14:schemeClr w14:val="tx1"/>
            </w14:solidFill>
          </w14:textFill>
        </w:rPr>
        <w:t>实施意见要求，市、县级行业部门落细落实安全生产责任。负有安全生产监督管理职责的部门，在各自职责范围内，对有关行业领域的安全生产工作实施监督管理，强化监管执法，依法依规查处违法违规行为。负有行业领域管理职责的部门，在履行行业管理职责的同时，必须履行行业安全生产职责，将安全生产工作作为行业领域管理工作的重要内容，制定实施有利于安全生产政策措施，指导、督促企事业单位加强安全防范，</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加快推进企业安全生产“明白人”培养</w:t>
      </w:r>
      <w:r>
        <w:rPr>
          <w:rFonts w:hint="eastAsia" w:ascii="仿宋" w:hAnsi="仿宋" w:eastAsia="仿宋" w:cs="仿宋"/>
          <w:color w:val="000000" w:themeColor="text1"/>
          <w:sz w:val="32"/>
          <w:szCs w:val="32"/>
          <w:u w:val="none"/>
          <w:lang w:eastAsia="zh-CN"/>
          <w14:textFill>
            <w14:solidFill>
              <w14:schemeClr w14:val="tx1"/>
            </w14:solidFill>
          </w14:textFill>
        </w:rPr>
        <w:t>。其他有关部门结合本部门工作职责，为安全生产工作提供支持保障，在组织人事、干部考核、宣传教育、责任追究、产业政策、安全投入、科技装备等方面统筹考虑安全生产工作，落实各项支持政策，共同推进安全发展。</w:t>
      </w:r>
    </w:p>
    <w:p>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jc w:val="both"/>
        <w:textAlignment w:val="baseline"/>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4.压实生产经营单位主要负责人责任。会同</w:t>
      </w:r>
      <w:r>
        <w:rPr>
          <w:rFonts w:hint="eastAsia" w:ascii="仿宋" w:hAnsi="仿宋" w:eastAsia="仿宋" w:cs="仿宋"/>
          <w:color w:val="000000" w:themeColor="text1"/>
          <w:sz w:val="32"/>
          <w:szCs w:val="32"/>
          <w:u w:val="none"/>
          <w14:textFill>
            <w14:solidFill>
              <w14:schemeClr w14:val="tx1"/>
            </w14:solidFill>
          </w14:textFill>
        </w:rPr>
        <w:t>市</w:t>
      </w:r>
      <w:r>
        <w:rPr>
          <w:rFonts w:hint="eastAsia" w:ascii="仿宋" w:hAnsi="仿宋" w:eastAsia="仿宋" w:cs="仿宋"/>
          <w:color w:val="000000" w:themeColor="text1"/>
          <w:sz w:val="32"/>
          <w:szCs w:val="32"/>
          <w:u w:val="none"/>
          <w:lang w:eastAsia="zh-CN"/>
          <w14:textFill>
            <w14:solidFill>
              <w14:schemeClr w14:val="tx1"/>
            </w14:solidFill>
          </w14:textFill>
        </w:rPr>
        <w:t>委党校集中开展重点行业领域生产经营单位主要负责人专题安全教育培训，按照“中央党校主课堂+省、市、县(区)分课堂”同步的模式，推动相关重点行业领域生产经营单位主要负责人教育培训全覆盖，其中：2024年，重点开展煤矿企业主要负责人和二级三级医院消防安全责任人集中培训；2025年，重点开展</w:t>
      </w:r>
      <w:r>
        <w:rPr>
          <w:rFonts w:hint="eastAsia" w:ascii="仿宋" w:hAnsi="仿宋" w:eastAsia="仿宋" w:cs="仿宋"/>
          <w:strike w:val="0"/>
          <w:dstrike w:val="0"/>
          <w:color w:val="000000" w:themeColor="text1"/>
          <w:sz w:val="32"/>
          <w:szCs w:val="32"/>
          <w:highlight w:val="none"/>
          <w:u w:val="none"/>
          <w:lang w:eastAsia="zh-CN"/>
          <w14:textFill>
            <w14:solidFill>
              <w14:schemeClr w14:val="tx1"/>
            </w14:solidFill>
          </w14:textFill>
        </w:rPr>
        <w:t>规模以上</w:t>
      </w:r>
      <w:r>
        <w:rPr>
          <w:rFonts w:hint="eastAsia" w:ascii="仿宋" w:hAnsi="仿宋" w:eastAsia="仿宋" w:cs="仿宋"/>
          <w:color w:val="000000" w:themeColor="text1"/>
          <w:sz w:val="32"/>
          <w:szCs w:val="32"/>
          <w:u w:val="none"/>
          <w:lang w:eastAsia="zh-CN"/>
          <w14:textFill>
            <w14:solidFill>
              <w14:schemeClr w14:val="tx1"/>
            </w14:solidFill>
          </w14:textFill>
        </w:rPr>
        <w:t>生产经营单位主要负责人、重点文物保护等单位消防安全责任人集中培训；2026年，重点开展大型商业综合体、物流园区、商贸城等消防安全责任人集中培训。各</w:t>
      </w:r>
      <w:r>
        <w:rPr>
          <w:rFonts w:hint="eastAsia" w:ascii="仿宋" w:hAnsi="仿宋" w:eastAsia="仿宋" w:cs="仿宋"/>
          <w:color w:val="000000" w:themeColor="text1"/>
          <w:sz w:val="32"/>
          <w:szCs w:val="32"/>
          <w:u w:val="none"/>
          <w14:textFill>
            <w14:solidFill>
              <w14:schemeClr w14:val="tx1"/>
            </w14:solidFill>
          </w14:textFill>
        </w:rPr>
        <w:t>县区</w:t>
      </w:r>
      <w:r>
        <w:rPr>
          <w:rFonts w:hint="eastAsia" w:ascii="仿宋" w:hAnsi="仿宋" w:eastAsia="仿宋" w:cs="仿宋"/>
          <w:color w:val="000000" w:themeColor="text1"/>
          <w:sz w:val="32"/>
          <w:szCs w:val="32"/>
          <w:u w:val="none"/>
          <w:lang w:eastAsia="zh-CN"/>
          <w14:textFill>
            <w14:solidFill>
              <w14:schemeClr w14:val="tx1"/>
            </w14:solidFill>
          </w14:textFill>
        </w:rPr>
        <w:t>及</w:t>
      </w:r>
      <w:r>
        <w:rPr>
          <w:rFonts w:hint="eastAsia" w:ascii="仿宋" w:hAnsi="仿宋" w:eastAsia="仿宋" w:cs="仿宋"/>
          <w:color w:val="000000" w:themeColor="text1"/>
          <w:sz w:val="32"/>
          <w:szCs w:val="32"/>
          <w:u w:val="none"/>
          <w14:textFill>
            <w14:solidFill>
              <w14:schemeClr w14:val="tx1"/>
            </w14:solidFill>
          </w14:textFill>
        </w:rPr>
        <w:t>市</w:t>
      </w:r>
      <w:r>
        <w:rPr>
          <w:rFonts w:hint="eastAsia" w:ascii="仿宋" w:hAnsi="仿宋" w:eastAsia="仿宋" w:cs="仿宋"/>
          <w:color w:val="000000" w:themeColor="text1"/>
          <w:sz w:val="32"/>
          <w:szCs w:val="32"/>
          <w:u w:val="none"/>
          <w:lang w:eastAsia="zh-CN"/>
          <w14:textFill>
            <w14:solidFill>
              <w14:schemeClr w14:val="tx1"/>
            </w14:solidFill>
          </w14:textFill>
        </w:rPr>
        <w:t>安委会有关成员单位要结合实际，组织对未覆盖到的有关重点行业领域生产经营单位主要负责人开展安全教育培训。</w:t>
      </w:r>
      <w:r>
        <w:rPr>
          <w:rFonts w:hint="eastAsia" w:ascii="仿宋" w:hAnsi="仿宋" w:eastAsia="仿宋" w:cs="仿宋"/>
          <w:color w:val="000000" w:themeColor="text1"/>
          <w:sz w:val="32"/>
          <w:szCs w:val="32"/>
          <w:u w:val="none"/>
          <w14:textFill>
            <w14:solidFill>
              <w14:schemeClr w14:val="tx1"/>
            </w14:solidFill>
          </w14:textFill>
        </w:rPr>
        <w:t>市</w:t>
      </w:r>
      <w:r>
        <w:rPr>
          <w:rFonts w:hint="eastAsia" w:ascii="仿宋" w:hAnsi="仿宋" w:eastAsia="仿宋" w:cs="仿宋"/>
          <w:color w:val="000000" w:themeColor="text1"/>
          <w:sz w:val="32"/>
          <w:szCs w:val="32"/>
          <w:u w:val="none"/>
          <w:lang w:eastAsia="zh-CN"/>
          <w14:textFill>
            <w14:solidFill>
              <w14:schemeClr w14:val="tx1"/>
            </w14:solidFill>
          </w14:textFill>
        </w:rPr>
        <w:t>安委会分批组织</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中央、省驻亳和</w:t>
      </w:r>
      <w:r>
        <w:rPr>
          <w:rFonts w:hint="eastAsia" w:ascii="仿宋" w:hAnsi="仿宋" w:eastAsia="仿宋" w:cs="仿宋"/>
          <w:color w:val="000000" w:themeColor="text1"/>
          <w:sz w:val="32"/>
          <w:szCs w:val="32"/>
          <w:u w:val="none"/>
          <w14:textFill>
            <w14:solidFill>
              <w14:schemeClr w14:val="tx1"/>
            </w14:solidFill>
          </w14:textFill>
        </w:rPr>
        <w:t>市属</w:t>
      </w:r>
      <w:r>
        <w:rPr>
          <w:rFonts w:hint="eastAsia" w:ascii="仿宋" w:hAnsi="仿宋" w:eastAsia="仿宋" w:cs="仿宋"/>
          <w:color w:val="000000" w:themeColor="text1"/>
          <w:sz w:val="32"/>
          <w:szCs w:val="32"/>
          <w:u w:val="none"/>
          <w:lang w:eastAsia="zh-CN"/>
          <w14:textFill>
            <w14:solidFill>
              <w14:schemeClr w14:val="tx1"/>
            </w14:solidFill>
          </w14:textFill>
        </w:rPr>
        <w:t>重点企业主要负责人、分管负责人、安全生产业务部门负责人培训。各</w:t>
      </w:r>
      <w:r>
        <w:rPr>
          <w:rFonts w:hint="eastAsia" w:ascii="仿宋" w:hAnsi="仿宋" w:eastAsia="仿宋" w:cs="仿宋"/>
          <w:color w:val="000000" w:themeColor="text1"/>
          <w:sz w:val="32"/>
          <w:szCs w:val="32"/>
          <w:u w:val="none"/>
          <w14:textFill>
            <w14:solidFill>
              <w14:schemeClr w14:val="tx1"/>
            </w14:solidFill>
          </w14:textFill>
        </w:rPr>
        <w:t>县区</w:t>
      </w:r>
      <w:r>
        <w:rPr>
          <w:rFonts w:hint="eastAsia" w:ascii="仿宋" w:hAnsi="仿宋" w:eastAsia="仿宋" w:cs="仿宋"/>
          <w:color w:val="000000" w:themeColor="text1"/>
          <w:sz w:val="32"/>
          <w:szCs w:val="32"/>
          <w:u w:val="none"/>
          <w:lang w:eastAsia="zh-CN"/>
          <w14:textFill>
            <w14:solidFill>
              <w14:schemeClr w14:val="tx1"/>
            </w14:solidFill>
          </w14:textFill>
        </w:rPr>
        <w:t>安委会组织各属地重点企业相关负责人培训。生产经营单位主要负责人要每季度带队对本单位重大事故隐患排查整治情况至少开展1次检查(高危行业领域每月至少1次)。</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二</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深化重点行业领域专项治理行动。</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5.总结重大事故隐患专项排查整治2023行动经验做法，围绕重大事故隐患判定标准，在全行业推广、学习、使用，形成各行业领域学标准、用标准的良好氛围。结合行业领域实际情况，全覆盖学习重大事故隐患判定标准解读、检查指引指南等配套文件、有关视频，规范事故隐患排查工作流程、提升排查整改质量。</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auto"/>
          <w:sz w:val="32"/>
          <w:szCs w:val="32"/>
          <w:highlight w:val="none"/>
          <w:u w:val="none"/>
          <w:lang w:eastAsia="zh-CN"/>
        </w:rPr>
      </w:pPr>
      <w:r>
        <w:rPr>
          <w:rFonts w:hint="eastAsia" w:ascii="仿宋" w:hAnsi="仿宋" w:eastAsia="仿宋" w:cs="仿宋"/>
          <w:color w:val="auto"/>
          <w:sz w:val="32"/>
          <w:szCs w:val="32"/>
          <w:highlight w:val="none"/>
          <w:u w:val="none"/>
          <w:lang w:eastAsia="zh-CN"/>
        </w:rPr>
        <w:t>6.深化煤矿安全专项治理。实施煤与瓦斯突出、水害和冲击地压等煤矿重大灾害超前精准治理，推进实施一批煤矿重大灾害治理工程，推进灾害治理由井下为主向地面为主转变。严格落实煤矿“一优三减”措施，优化系统、减水平、减头面、减人员，努力打造集约高效的安全生产格局。落实中办、国办《关于进一步加强矿山安全生产工作的意见》,实施防范遏制煤矿领域重特大事故硬措施</w:t>
      </w:r>
      <w:r>
        <w:rPr>
          <w:rFonts w:hint="eastAsia" w:ascii="仿宋" w:hAnsi="仿宋" w:eastAsia="仿宋" w:cs="仿宋"/>
          <w:color w:val="auto"/>
          <w:sz w:val="32"/>
          <w:szCs w:val="32"/>
          <w:highlight w:val="none"/>
          <w:u w:val="none"/>
          <w:lang w:val="en-US" w:eastAsia="zh-CN"/>
        </w:rPr>
        <w:t>,切实提升煤矿本质安全水平</w:t>
      </w:r>
      <w:r>
        <w:rPr>
          <w:rFonts w:hint="eastAsia" w:ascii="仿宋" w:hAnsi="仿宋" w:eastAsia="仿宋" w:cs="仿宋"/>
          <w:color w:val="auto"/>
          <w:sz w:val="32"/>
          <w:szCs w:val="32"/>
          <w:highlight w:val="none"/>
          <w:u w:val="none"/>
          <w:lang w:eastAsia="zh-CN"/>
        </w:rPr>
        <w:t>。</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7.深化消防安全专项治理。强化风险研判，定期分析研判本地区、本行业消防安全风险，每年开展分析研判和调研评估，提出针对性防范对策措施。紧盯高层建筑、大型商业综合体、医院等“大单位”,经营性自建房、沿街商铺、餐馆饭店、家庭作坊等“小场所”,储能电站、剧本娱乐、电竞酒店等“新业态”,紧盯城中村、城乡结合部等“旧区域”和久拖不改的重大火灾隐患单位，实行分类化排查、差异化监管、系统化治理。督促社会单位常态开展火灾风险隐患自查，建立隐患台账，落实闭环管理。完善重大火灾隐患政府挂牌督办、整改销案制度，各</w:t>
      </w:r>
      <w:r>
        <w:rPr>
          <w:rFonts w:hint="eastAsia" w:ascii="仿宋" w:hAnsi="仿宋" w:eastAsia="仿宋" w:cs="仿宋"/>
          <w:color w:val="000000" w:themeColor="text1"/>
          <w:sz w:val="32"/>
          <w:szCs w:val="32"/>
          <w:u w:val="none"/>
          <w14:textFill>
            <w14:solidFill>
              <w14:schemeClr w14:val="tx1"/>
            </w14:solidFill>
          </w14:textFill>
        </w:rPr>
        <w:t>县区</w:t>
      </w:r>
      <w:r>
        <w:rPr>
          <w:rFonts w:hint="eastAsia" w:ascii="仿宋" w:hAnsi="仿宋" w:eastAsia="仿宋" w:cs="仿宋"/>
          <w:color w:val="000000" w:themeColor="text1"/>
          <w:sz w:val="32"/>
          <w:szCs w:val="32"/>
          <w:u w:val="none"/>
          <w:lang w:eastAsia="zh-CN"/>
          <w14:textFill>
            <w14:solidFill>
              <w14:schemeClr w14:val="tx1"/>
            </w14:solidFill>
          </w14:textFill>
        </w:rPr>
        <w:t>政府每年挂牌督办整改一批典型重大火灾隐患。深化打通消防生命通道工程，动态纠治锁闭安全出口、占堵疏散通道、门窗违规设置障碍物等违法行为。督促社会单位对照重点场所火灾风险防范指南和检查指引开展自查自改，健全完善重大火灾隐患排查整改常态化机制，鼓励社会单位运用物联网技术提高消防安全自主管理水平。推动将消防信息化、物联网技术、智慧消防等纳入城市生命线工程建设，强化火灾风险监测预警。发动乡镇(街道)消防工作站等基层力量加强家庭作坊、经营性自建房等“小场所”检查巡查，及时纠治动态火灾隐患。</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8.深化城镇燃气专项治理。深化城镇燃气安全排查整治，常态化推进燃气行业管理部门牵头，公安、交通运输、商务、市场监管、消防等部门(机构)参与的排查整治工作，组织经营场所依法安装燃气泄漏报警装置。严格瓶装液化石油气安全监管，严厉打击生产销售伪劣燃气具行为，有序推进燃气管道老化更新改造。严格实施燃气经营企业市场准入和安全生产标准化，推动“小、散、弱”企业整合提升，规范燃气市场秩序。持续推进燃气老旧管道更新改造。严格燃气经营许可、气瓶充装许可审批及事中事后监管，督促燃气经营者按规定进行入户安检。深入开展气瓶、压力管道等涉燃气特种设备安全监管。加大燃气用具产品生产、流通、销售等环节监督抽查力度。</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9.深化危险化学品专项治理。常态化开展危险化学品重大危险源“消地协作”专项检查督导，持续优化重大危险源风险监测预警系统。实施化工园区安全提质工程，推动危险化学品安全数字化智能化转型。落实“三管三必须”要求，强化托运、承运、装卸、车辆运行等危险化学品运输安全监管；加强使用危险化学品从事生产的企业及医院、学校、科研机构等单位的危险化学品使用安全管理；强化废弃危险化学品等危险废物管理，建立部门联动、区域协作、重大案件会商督办制度，形成覆盖危险废物产生、收集、贮存、转移、运输、利用、处置等全过程的监管体系。</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10.深化道路交通专项治理。建立健全道路运输企业、道路运输车辆和驾驶员信息共享机制。严格落实典型和严重道路交通事故深度调查制度，倒查道路交通安全各相关环节存在的问题漏洞。加强交通运输新业态管理服务，加大对新能源公交车、新能源出租车、“网约车”运营安全性的监督管理力度，强化重中型货车、面包车、长途客运班车和省际包车、危险货物运输和城市公共交通企业安全监管，综合应用各类监控数据，依法严厉查处超速、超员、超载、疲劳驾驶等严重交通违法行为。深化货车非法改装、规范行车专项整治，健全货车非法改装联合监管工作机制，将车辆超限超载治理纳入各级政府安全生产考核，严厉打击“大吨小标”“百吨王”、倒卖合格证等违法违规行为。加强道路交通安全风险分析研判和监测预警，开展道路交通安全隐患排查治理，及时消除隐患。构建适应新形势的农村出行运输服务体系，鼓励农村客运车辆安装使用卫星定位装置和视频监控装置。深入开展农村地区交通安全宣传工作，深化意识提升专项行动。</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11.深化建设工程施工专项治理。深化房屋市政、公路、水利、电力等工程的专项整治。强化施工现场安全管理，推动施工现场安全管理标准化规范化。加强基坑工程、模板支撑体系、脚手架工程、暗挖工程等危险性较大的分部分项工程安全管理，突出高处坠落、坍塌、起重伤害、中毒和窒息事故防范，加强建筑市场和施工现场联动，严厉打击转包、违法分包、审批手续不全、盲目赶工期抢进度、不按方案施工等违法违规行为。推动智慧工地建设，实施建设施工全生命周期管理。加大对重大工程、重点地区、高风险时段的监督检查力度。加强农村住房建设和危房改造施工安全管理，强化农村住房安全监管。</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12.深化工贸安全专项治理。以粉尘涉爆、涉氨制冷、有限空间作业为重点，强化事故隐患排查治理，深化工贸重点行业领域安全专项整治。淘汰、改造落后生产设备和工艺，粉尘涉爆企业采用自动打磨抛光、湿法除尘工艺，建材企业搬运码垛、清仓清库、投料装车、高温窑炉等安全风险较高的岗位“机械化换人、自动化减人”。</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13.深化其他行业领域专项治理。开展校园安全、民政机构安全、铁路安全、水上交通安全、农林渔业安全、商贸服务业安全、文化旅游场所安全、医疗卫生安全、托育机构安全、特种设备安全、体育场馆和设施安全、林业安全、粮油储备安全、油气长输管道安全、电力安全、邮政快递安全等专项治理。</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三</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开展重大事故隐患动态清零行动。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14.</w:t>
      </w:r>
      <w:r>
        <w:rPr>
          <w:rFonts w:hint="eastAsia" w:ascii="仿宋" w:hAnsi="仿宋" w:eastAsia="仿宋" w:cs="仿宋"/>
          <w:color w:val="000000" w:themeColor="text1"/>
          <w:sz w:val="32"/>
          <w:szCs w:val="32"/>
          <w:highlight w:val="none"/>
          <w:u w:val="none"/>
          <w14:textFill>
            <w14:solidFill>
              <w14:schemeClr w14:val="tx1"/>
            </w14:solidFill>
          </w14:textFill>
        </w:rPr>
        <w:t>因地制宜建立完善各类发展规划的安全风险评估会商机制，有效衔接国土空间规划和自然灾害综合风险普查成果等，结合地区实际制定开发区、高新区、工业园区、化工园区等重点区域安全生产禁止和限制类产业目录，严格准入，强化重大安全风险源头管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val="en-US"/>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15.</w:t>
      </w:r>
      <w:r>
        <w:rPr>
          <w:rFonts w:hint="eastAsia" w:ascii="仿宋" w:hAnsi="仿宋" w:eastAsia="仿宋" w:cs="仿宋"/>
          <w:color w:val="000000" w:themeColor="text1"/>
          <w:sz w:val="32"/>
          <w:szCs w:val="32"/>
          <w:highlight w:val="none"/>
          <w:u w:val="none"/>
          <w14:textFill>
            <w14:solidFill>
              <w14:schemeClr w14:val="tx1"/>
            </w14:solidFill>
          </w14:textFill>
        </w:rPr>
        <w:t>健全完善生产经营单位重大事故隐患自查自改常态化机制，完善并落实生产经营单位全员安全生产岗位责任制。完善行业领域专家、企业退休技安人员以及专业技术服务机构参与排查整治工作的长效机制，加大支撑保障力度，提高排查整治专业性。对未开展排查或者查出后拒不整改等导致重大事故隐患长期存在的，参照事故调查处理，查清问题并依法依规严肃责任追究。</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16.</w:t>
      </w:r>
      <w:r>
        <w:rPr>
          <w:rFonts w:hint="eastAsia" w:ascii="仿宋" w:hAnsi="仿宋" w:eastAsia="仿宋" w:cs="仿宋"/>
          <w:color w:val="000000" w:themeColor="text1"/>
          <w:sz w:val="32"/>
          <w:szCs w:val="32"/>
          <w:highlight w:val="none"/>
          <w:u w:val="none"/>
          <w14:textFill>
            <w14:solidFill>
              <w14:schemeClr w14:val="tx1"/>
            </w14:solidFill>
          </w14:textFill>
        </w:rPr>
        <w:t>完善地方政府对于重大事故隐患治理的督办制度，建立政府负有安全监管职责有关部门审核把关销号机制，加大专业指导力度，确保重大隐患闭环整改到位。2024年底前建立健全分区域、分行业重大事故隐患统计分析机制，对进展缓慢的及时采取函告、通报、约谈、曝光等措施。按照《</w:t>
      </w:r>
      <w:r>
        <w:rPr>
          <w:rFonts w:hint="eastAsia" w:ascii="仿宋" w:hAnsi="仿宋" w:eastAsia="仿宋" w:cs="仿宋"/>
          <w:color w:val="000000" w:themeColor="text1"/>
          <w:sz w:val="32"/>
          <w:szCs w:val="32"/>
          <w:highlight w:val="none"/>
          <w:u w:val="none"/>
          <w:lang w:eastAsia="zh-CN"/>
          <w14:textFill>
            <w14:solidFill>
              <w14:schemeClr w14:val="tx1"/>
            </w14:solidFill>
          </w14:textFill>
        </w:rPr>
        <w:t>亳州市</w:t>
      </w:r>
      <w:r>
        <w:rPr>
          <w:rFonts w:hint="eastAsia" w:ascii="仿宋" w:hAnsi="仿宋" w:eastAsia="仿宋" w:cs="仿宋"/>
          <w:color w:val="000000" w:themeColor="text1"/>
          <w:sz w:val="32"/>
          <w:szCs w:val="32"/>
          <w:highlight w:val="none"/>
          <w:u w:val="none"/>
          <w14:textFill>
            <w14:solidFill>
              <w14:schemeClr w14:val="tx1"/>
            </w14:solidFill>
          </w14:textFill>
        </w:rPr>
        <w:t>生产安全事故隐患排查治理办法》，进一步加强事故隐患排查治理的监督管理。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17.</w:t>
      </w:r>
      <w:r>
        <w:rPr>
          <w:rFonts w:hint="eastAsia" w:ascii="仿宋" w:hAnsi="仿宋" w:eastAsia="仿宋" w:cs="仿宋"/>
          <w:color w:val="000000" w:themeColor="text1"/>
          <w:sz w:val="32"/>
          <w:szCs w:val="32"/>
          <w:highlight w:val="none"/>
          <w:u w:val="none"/>
          <w14:textFill>
            <w14:solidFill>
              <w14:schemeClr w14:val="tx1"/>
            </w14:solidFill>
          </w14:textFill>
        </w:rPr>
        <w:t>健全重大事故隐患数据库，2024年底前完善数据库运行管理机制，实现企业自查上报、督导检查发现、群众举报查实等各渠道排查的重大事故隐患全量汇总，推动重大事故隐患信息共享集中。及时将重大事故隐患信息通知到相关生产经营单位的主要负责人、实际控制人，实行清单制管理并动态更新整改落实情况，推动照单逐条整改销号。</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四</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开展安全科技支撑和工程治理行动。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lang w:val="en-US"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18.</w:t>
      </w:r>
      <w:r>
        <w:rPr>
          <w:rFonts w:hint="eastAsia" w:ascii="仿宋" w:hAnsi="仿宋" w:eastAsia="仿宋" w:cs="仿宋"/>
          <w:color w:val="000000" w:themeColor="text1"/>
          <w:sz w:val="32"/>
          <w:szCs w:val="32"/>
          <w:highlight w:val="none"/>
          <w:u w:val="none"/>
          <w14:textFill>
            <w14:solidFill>
              <w14:schemeClr w14:val="tx1"/>
            </w14:solidFill>
          </w14:textFill>
        </w:rPr>
        <w:t>加快推动安全生产监管模式向事前预防数字化转型，推进人工智能、大数据、物联网等技术与安全生产融合发展，持续加大危化品重大危险源、</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煤矿</w:t>
      </w:r>
      <w:r>
        <w:rPr>
          <w:rFonts w:hint="eastAsia" w:ascii="仿宋" w:hAnsi="仿宋" w:eastAsia="仿宋" w:cs="仿宋"/>
          <w:color w:val="000000" w:themeColor="text1"/>
          <w:sz w:val="32"/>
          <w:szCs w:val="32"/>
          <w:highlight w:val="none"/>
          <w:u w:val="none"/>
          <w14:textFill>
            <w14:solidFill>
              <w14:schemeClr w14:val="tx1"/>
            </w14:solidFill>
          </w14:textFill>
        </w:rPr>
        <w:t>、建筑施工、交通运输、水利、能源、消防、粉尘涉爆、烟花爆竹等行业领域安全风险监测预警系统建设应用和升级改造力度，2024年底前建设完善危化品、</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煤矿</w:t>
      </w:r>
      <w:r>
        <w:rPr>
          <w:rFonts w:hint="eastAsia" w:ascii="仿宋" w:hAnsi="仿宋" w:eastAsia="仿宋" w:cs="仿宋"/>
          <w:color w:val="000000" w:themeColor="text1"/>
          <w:sz w:val="32"/>
          <w:szCs w:val="32"/>
          <w:highlight w:val="none"/>
          <w:u w:val="none"/>
          <w14:textFill>
            <w14:solidFill>
              <w14:schemeClr w14:val="tx1"/>
            </w14:solidFill>
          </w14:textFill>
        </w:rPr>
        <w:t>等高危企业安全生产电力监测分析系统，2025年底前实现危化品重大危险源、煤矿、重点粉尘涉爆等企业安全风险监测预警全覆盖，2026年底安全生产风险智能化管控能力显著增强。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19.</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在用设备报废标准，加大危化品、</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煤矿</w:t>
      </w:r>
      <w:r>
        <w:rPr>
          <w:rFonts w:hint="eastAsia" w:ascii="仿宋" w:hAnsi="仿宋" w:eastAsia="仿宋" w:cs="仿宋"/>
          <w:color w:val="000000" w:themeColor="text1"/>
          <w:sz w:val="32"/>
          <w:szCs w:val="32"/>
          <w:highlight w:val="none"/>
          <w:u w:val="none"/>
          <w14:textFill>
            <w14:solidFill>
              <w14:schemeClr w14:val="tx1"/>
            </w14:solidFill>
          </w14:textFill>
        </w:rPr>
        <w:t>、工贸、烟花爆竹、建设施工、交通运输、燃气等行业领域淘汰更新力度。依法加快推进“小散乱”企业有序关闭、老旧直流内燃机车报废、老旧渔船更新改造、老旧化工生产装置改造提升、“大吨小标”货车违规生产销售治理，2025年底前推动变型拖拉机全部淘汰退出。聚焦突出重大风险隐患，大力推进“机械化换人、自动化减人”，提升</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煤矿</w:t>
      </w:r>
      <w:r>
        <w:rPr>
          <w:rFonts w:hint="eastAsia" w:ascii="仿宋" w:hAnsi="仿宋" w:eastAsia="仿宋" w:cs="仿宋"/>
          <w:color w:val="000000" w:themeColor="text1"/>
          <w:sz w:val="32"/>
          <w:szCs w:val="32"/>
          <w:highlight w:val="none"/>
          <w:u w:val="none"/>
          <w14:textFill>
            <w14:solidFill>
              <w14:schemeClr w14:val="tx1"/>
            </w14:solidFill>
          </w14:textFill>
        </w:rPr>
        <w:t>、危化品、烟花爆竹等行业领域自动化、智能化水平。推进小型生产经营场所、经营性自建房、老旧住宅小区安装早期火灾报警和灭火装置。推进道路运输车辆主动安全装置</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的</w:t>
      </w:r>
      <w:r>
        <w:rPr>
          <w:rFonts w:hint="eastAsia" w:ascii="仿宋" w:hAnsi="仿宋" w:eastAsia="仿宋" w:cs="仿宋"/>
          <w:color w:val="000000" w:themeColor="text1"/>
          <w:sz w:val="32"/>
          <w:szCs w:val="32"/>
          <w:highlight w:val="none"/>
          <w:u w:val="none"/>
          <w14:textFill>
            <w14:solidFill>
              <w14:schemeClr w14:val="tx1"/>
            </w14:solidFill>
          </w14:textFill>
        </w:rPr>
        <w:t>安装应用。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20.</w:t>
      </w:r>
      <w:r>
        <w:rPr>
          <w:rFonts w:hint="eastAsia" w:ascii="仿宋" w:hAnsi="仿宋" w:eastAsia="仿宋" w:cs="仿宋"/>
          <w:color w:val="000000" w:themeColor="text1"/>
          <w:sz w:val="32"/>
          <w:szCs w:val="32"/>
          <w:highlight w:val="none"/>
          <w:u w:val="none"/>
          <w14:textFill>
            <w14:solidFill>
              <w14:schemeClr w14:val="tx1"/>
            </w14:solidFill>
          </w14:textFill>
        </w:rPr>
        <w:t>深入开展老旧场所消防设施升级改造、公路安全生命防护工程建设、电梯安全筑底、应急逃生出口和消防车通道打通等工程治理行动。组织开展建设工程消防设计审查验收违法违规专项治理。2025年底前基本实现城镇建成区消防供水全覆盖、存在安全隐患自建房整治全覆盖，持续推动安全基础设施提质增效强化本质安全。</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五</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开展生产经营单位从业人员安全素质能力提升行动。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21.</w:t>
      </w:r>
      <w:r>
        <w:rPr>
          <w:rFonts w:hint="eastAsia" w:ascii="仿宋" w:hAnsi="仿宋" w:eastAsia="仿宋" w:cs="仿宋"/>
          <w:color w:val="000000" w:themeColor="text1"/>
          <w:sz w:val="32"/>
          <w:szCs w:val="32"/>
          <w:highlight w:val="none"/>
          <w:u w:val="none"/>
          <w14:textFill>
            <w14:solidFill>
              <w14:schemeClr w14:val="tx1"/>
            </w14:solidFill>
          </w14:textFill>
        </w:rPr>
        <w:t>推动危化品、</w:t>
      </w:r>
      <w:r>
        <w:rPr>
          <w:rFonts w:hint="eastAsia" w:ascii="仿宋" w:hAnsi="仿宋" w:eastAsia="仿宋" w:cs="仿宋"/>
          <w:color w:val="000000" w:themeColor="text1"/>
          <w:sz w:val="32"/>
          <w:szCs w:val="32"/>
          <w:highlight w:val="none"/>
          <w:u w:val="none"/>
          <w:lang w:eastAsia="zh-CN"/>
          <w14:textFill>
            <w14:solidFill>
              <w14:schemeClr w14:val="tx1"/>
            </w14:solidFill>
          </w14:textFill>
        </w:rPr>
        <w:t>煤矿</w:t>
      </w:r>
      <w:r>
        <w:rPr>
          <w:rFonts w:hint="eastAsia" w:ascii="仿宋" w:hAnsi="仿宋" w:eastAsia="仿宋" w:cs="仿宋"/>
          <w:color w:val="000000" w:themeColor="text1"/>
          <w:sz w:val="32"/>
          <w:szCs w:val="32"/>
          <w:highlight w:val="none"/>
          <w:u w:val="none"/>
          <w14:textFill>
            <w14:solidFill>
              <w14:schemeClr w14:val="tx1"/>
            </w14:solidFill>
          </w14:textFill>
        </w:rPr>
        <w:t>、烟花爆竹等高危行业生产经营单位从业人员安全技能培训深化提升，严格高危行业生产经营单位主要负责人、安全生产管理人员安全生产知识和管理能力考核以及特种作业人员安全技术培训考核，将重大事故隐患排查整治有关要求作为培训考核的重要内容。凡发生亡人责任事故的企业主要负责人和安全管理人员一律重新参加培训并经培训考核合格。着力提升高危行业从业人员安全技能水平，补齐高危行业从业人员安全素质短板，为高危行业高质量发展、安全发展提供支持。按照《安全生产培训机构基本条件》标准，加强设备配备和设施建设，对安全生产培训机构进行一轮全覆盖条件复核，2024年底前不符合条件的机构</w:t>
      </w:r>
      <w:r>
        <w:rPr>
          <w:rFonts w:hint="eastAsia" w:ascii="仿宋" w:hAnsi="仿宋" w:eastAsia="仿宋" w:cs="仿宋"/>
          <w:color w:val="000000" w:themeColor="text1"/>
          <w:sz w:val="32"/>
          <w:szCs w:val="32"/>
          <w:highlight w:val="none"/>
          <w:u w:val="none"/>
          <w:lang w:eastAsia="zh-CN"/>
          <w14:textFill>
            <w14:solidFill>
              <w14:schemeClr w14:val="tx1"/>
            </w14:solidFill>
          </w14:textFill>
        </w:rPr>
        <w:t>予以清退</w:t>
      </w:r>
      <w:r>
        <w:rPr>
          <w:rFonts w:hint="eastAsia" w:ascii="仿宋" w:hAnsi="仿宋" w:eastAsia="仿宋" w:cs="仿宋"/>
          <w:color w:val="000000" w:themeColor="text1"/>
          <w:sz w:val="32"/>
          <w:szCs w:val="32"/>
          <w:highlight w:val="none"/>
          <w:u w:val="none"/>
          <w14:textFill>
            <w14:solidFill>
              <w14:schemeClr w14:val="tx1"/>
            </w14:solidFill>
          </w14:textFill>
        </w:rPr>
        <w:t>。优化特种作业考试和许可管理，推动特种作业人员持证上岗，督促生产经营单位严格电气焊作业等特种作业人员管理，严格遵守消防安全、生产安全等操作规程。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22.</w:t>
      </w:r>
      <w:r>
        <w:rPr>
          <w:rFonts w:hint="eastAsia" w:ascii="仿宋" w:hAnsi="仿宋" w:eastAsia="仿宋" w:cs="仿宋"/>
          <w:color w:val="000000" w:themeColor="text1"/>
          <w:sz w:val="32"/>
          <w:szCs w:val="32"/>
          <w:highlight w:val="none"/>
          <w:u w:val="none"/>
          <w14:textFill>
            <w14:solidFill>
              <w14:schemeClr w14:val="tx1"/>
            </w14:solidFill>
          </w14:textFill>
        </w:rPr>
        <w:t>结合各行业领域实际情况，2024年底前全面细化完善生产经营单位各类从业人员安全生产教育培训的频次、内容、范围、时间等规定要求，健全教育培训效果督导检查机制，切实强化教育培训动态管理</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，加快推进企业安全生产“明白人”培养。</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有关从业人员的安全准入机制以及不符合安全条件要求的退出机制，提升从业人员整体能力水平。推动生产经营单位加强对外包外租等关联单位的安全生产指导、监督，将接受其作业指令的劳务派遣、灵活用工等人员纳入本单位安全生产管理体系，严格安全培训和管理，切实提升有关从业人员的安全素质和能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23.</w:t>
      </w:r>
      <w:r>
        <w:rPr>
          <w:rFonts w:hint="eastAsia" w:ascii="仿宋" w:hAnsi="仿宋" w:eastAsia="仿宋" w:cs="仿宋"/>
          <w:color w:val="000000" w:themeColor="text1"/>
          <w:sz w:val="32"/>
          <w:szCs w:val="32"/>
          <w:highlight w:val="none"/>
          <w:u w:val="none"/>
          <w14:textFill>
            <w14:solidFill>
              <w14:schemeClr w14:val="tx1"/>
            </w14:solidFill>
          </w14:textFill>
        </w:rPr>
        <w:t>聚焦从业人员疏散逃生避险意识能力提升，推动生产经营单位每年至少组织开展一次疏散逃生演练（高危行业领域每半年至少一次），让全体从业人员熟知逃生通道、安全出口及应急处置要求，形成常态化机制。推动高危行业生产经营单位全面依法建设安全生产应急救援队伍，满足安全风险防范和事故抢险救援需要。</w:t>
      </w:r>
    </w:p>
    <w:p>
      <w:pPr>
        <w:keepNext w:val="0"/>
        <w:keepLines w:val="0"/>
        <w:pageBreakBefore w:val="0"/>
        <w:wordWrap/>
        <w:overflowPunct/>
        <w:topLinePunct w:val="0"/>
        <w:bidi w:val="0"/>
        <w:spacing w:line="560" w:lineRule="exact"/>
        <w:ind w:firstLine="640" w:firstLineChars="200"/>
        <w:jc w:val="both"/>
        <w:rPr>
          <w:rFonts w:hint="eastAsia" w:ascii="楷体" w:hAnsi="楷体" w:eastAsia="楷体" w:cs="Times New Roman"/>
          <w:b w:val="0"/>
          <w:bCs w:val="0"/>
          <w:color w:val="000000" w:themeColor="text1"/>
          <w:sz w:val="32"/>
          <w:szCs w:val="32"/>
          <w:u w:val="none"/>
          <w:lang w:eastAsia="zh-CN"/>
          <w14:textFill>
            <w14:solidFill>
              <w14:schemeClr w14:val="tx1"/>
            </w14:solidFill>
          </w14:textFill>
        </w:rPr>
      </w:pP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(六)开展生产经营单位安全管理体系建设和标杆示范企业创建行动。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24.</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学习国内外先进</w:t>
      </w:r>
      <w:r>
        <w:rPr>
          <w:rFonts w:hint="eastAsia" w:ascii="仿宋" w:hAnsi="仿宋" w:eastAsia="仿宋" w:cs="仿宋"/>
          <w:color w:val="000000" w:themeColor="text1"/>
          <w:sz w:val="32"/>
          <w:szCs w:val="32"/>
          <w:highlight w:val="none"/>
          <w:u w:val="none"/>
          <w14:textFill>
            <w14:solidFill>
              <w14:schemeClr w14:val="tx1"/>
            </w14:solidFill>
          </w14:textFill>
        </w:rPr>
        <w:t>安全管理体系经验做法，2024年试点</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推进地方</w:t>
      </w:r>
      <w:r>
        <w:rPr>
          <w:rFonts w:hint="eastAsia" w:ascii="仿宋" w:hAnsi="仿宋" w:eastAsia="仿宋" w:cs="仿宋"/>
          <w:color w:val="000000" w:themeColor="text1"/>
          <w:sz w:val="32"/>
          <w:szCs w:val="32"/>
          <w:highlight w:val="none"/>
          <w:u w:val="none"/>
          <w14:textFill>
            <w14:solidFill>
              <w14:schemeClr w14:val="tx1"/>
            </w14:solidFill>
          </w14:textFill>
        </w:rPr>
        <w:t>特色的安全生产管理体系，2025年聚焦</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中央、省驻亳单位及市属重点</w:t>
      </w:r>
      <w:r>
        <w:rPr>
          <w:rFonts w:hint="eastAsia" w:ascii="仿宋" w:hAnsi="仿宋" w:eastAsia="仿宋" w:cs="仿宋"/>
          <w:color w:val="000000" w:themeColor="text1"/>
          <w:sz w:val="32"/>
          <w:szCs w:val="32"/>
          <w:highlight w:val="none"/>
          <w:u w:val="none"/>
          <w14:textFill>
            <w14:solidFill>
              <w14:schemeClr w14:val="tx1"/>
            </w14:solidFill>
          </w14:textFill>
        </w:rPr>
        <w:t>企业</w:t>
      </w:r>
      <w:r>
        <w:rPr>
          <w:rFonts w:hint="eastAsia" w:ascii="仿宋" w:hAnsi="仿宋" w:eastAsia="仿宋" w:cs="仿宋"/>
          <w:strike w:val="0"/>
          <w:dstrike w:val="0"/>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安全生产标准化管理体系基本规范，</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推进</w:t>
      </w:r>
      <w:r>
        <w:rPr>
          <w:rFonts w:hint="eastAsia" w:ascii="仿宋" w:hAnsi="仿宋" w:eastAsia="仿宋" w:cs="仿宋"/>
          <w:color w:val="000000" w:themeColor="text1"/>
          <w:sz w:val="32"/>
          <w:szCs w:val="32"/>
          <w:highlight w:val="none"/>
          <w:u w:val="none"/>
          <w14:textFill>
            <w14:solidFill>
              <w14:schemeClr w14:val="tx1"/>
            </w14:solidFill>
          </w14:textFill>
        </w:rPr>
        <w:t>小微企业</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安全生产标准化管理体系基本规范。</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u w:val="none"/>
          <w:lang w:eastAsia="zh-CN"/>
          <w14:textFill>
            <w14:solidFill>
              <w14:schemeClr w14:val="tx1"/>
            </w14:solidFill>
          </w14:textFill>
        </w:rPr>
        <w:t>25.</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发挥标杆</w:t>
      </w:r>
      <w:r>
        <w:rPr>
          <w:rFonts w:hint="eastAsia" w:ascii="仿宋" w:hAnsi="仿宋" w:eastAsia="仿宋" w:cs="仿宋"/>
          <w:strike w:val="0"/>
          <w:dstrike w:val="0"/>
          <w:color w:val="000000" w:themeColor="text1"/>
          <w:sz w:val="32"/>
          <w:szCs w:val="32"/>
          <w:highlight w:val="none"/>
          <w:u w:val="none"/>
          <w:lang w:val="en-US" w:eastAsia="zh-CN"/>
          <w14:textFill>
            <w14:solidFill>
              <w14:schemeClr w14:val="tx1"/>
            </w14:solidFill>
          </w14:textFill>
        </w:rPr>
        <w:t>示范引领作用</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开展标杆示范企业创建行动，</w:t>
      </w:r>
      <w:r>
        <w:rPr>
          <w:rFonts w:hint="eastAsia" w:ascii="仿宋" w:hAnsi="仿宋" w:eastAsia="仿宋" w:cs="仿宋"/>
          <w:strike w:val="0"/>
          <w:dstrike w:val="0"/>
          <w:color w:val="000000" w:themeColor="text1"/>
          <w:sz w:val="32"/>
          <w:szCs w:val="32"/>
          <w:highlight w:val="none"/>
          <w:u w:val="none"/>
          <w:lang w:val="en-US" w:eastAsia="zh-CN"/>
          <w14:textFill>
            <w14:solidFill>
              <w14:schemeClr w14:val="tx1"/>
            </w14:solidFill>
          </w14:textFill>
        </w:rPr>
        <w:t>严格落实</w:t>
      </w:r>
      <w:r>
        <w:rPr>
          <w:rFonts w:hint="eastAsia" w:ascii="仿宋" w:hAnsi="仿宋" w:eastAsia="仿宋" w:cs="仿宋"/>
          <w:color w:val="000000" w:themeColor="text1"/>
          <w:sz w:val="32"/>
          <w:szCs w:val="32"/>
          <w:highlight w:val="none"/>
          <w:u w:val="none"/>
          <w14:textFill>
            <w14:solidFill>
              <w14:schemeClr w14:val="tx1"/>
            </w14:solidFill>
          </w14:textFill>
        </w:rPr>
        <w:t>安全生产标准化管理体系定级制度，积极推动、引导有关行业领域各类企业单位创建安全生产标准化管理体系。落实安全生产标准化达标企业在减少检查频次、复产验收优先、优化安全生产责任保险和信贷信用等级评定等方面的激励政策。大力选树各行业安全生产标准化建设标杆企业单位，2025年底前，打造一批安全生产标准化</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建设</w:t>
      </w:r>
      <w:r>
        <w:rPr>
          <w:rFonts w:hint="eastAsia" w:ascii="仿宋" w:hAnsi="仿宋" w:eastAsia="仿宋" w:cs="仿宋"/>
          <w:color w:val="000000" w:themeColor="text1"/>
          <w:sz w:val="32"/>
          <w:szCs w:val="32"/>
          <w:highlight w:val="none"/>
          <w:u w:val="none"/>
          <w14:textFill>
            <w14:solidFill>
              <w14:schemeClr w14:val="tx1"/>
            </w14:solidFill>
          </w14:textFill>
        </w:rPr>
        <w:t>标杆企业单位，</w:t>
      </w:r>
      <w:r>
        <w:rPr>
          <w:rFonts w:hint="eastAsia" w:ascii="仿宋" w:hAnsi="仿宋" w:eastAsia="仿宋" w:cs="仿宋"/>
          <w:color w:val="000000" w:themeColor="text1"/>
          <w:sz w:val="32"/>
          <w:szCs w:val="32"/>
          <w:highlight w:val="none"/>
          <w:u w:val="none"/>
          <w:lang w:eastAsia="zh-CN"/>
          <w14:textFill>
            <w14:solidFill>
              <w14:schemeClr w14:val="tx1"/>
            </w14:solidFill>
          </w14:textFill>
        </w:rPr>
        <w:t>试点建立规模以上企业安全生产负面清单，</w:t>
      </w:r>
      <w:r>
        <w:rPr>
          <w:rFonts w:hint="eastAsia" w:ascii="仿宋" w:hAnsi="仿宋" w:eastAsia="仿宋" w:cs="仿宋"/>
          <w:color w:val="000000" w:themeColor="text1"/>
          <w:sz w:val="32"/>
          <w:szCs w:val="32"/>
          <w:u w:val="none"/>
          <w:lang w:eastAsia="zh-CN"/>
          <w14:textFill>
            <w14:solidFill>
              <w14:schemeClr w14:val="tx1"/>
            </w14:solidFill>
          </w14:textFill>
        </w:rPr>
        <w:t>确保标杆企业生产经营单位全员安全生产主体责任清单落实率和安全培训完成率达到100%，</w:t>
      </w:r>
      <w:r>
        <w:rPr>
          <w:rFonts w:hint="eastAsia" w:ascii="仿宋" w:hAnsi="仿宋" w:eastAsia="仿宋" w:cs="仿宋"/>
          <w:color w:val="000000" w:themeColor="text1"/>
          <w:sz w:val="32"/>
          <w:szCs w:val="32"/>
          <w:highlight w:val="none"/>
          <w:u w:val="none"/>
          <w14:textFill>
            <w14:solidFill>
              <w14:schemeClr w14:val="tx1"/>
            </w14:solidFill>
          </w14:textFill>
        </w:rPr>
        <w:t>推广安全生产管理体系</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建设</w:t>
      </w:r>
      <w:r>
        <w:rPr>
          <w:rFonts w:hint="eastAsia" w:ascii="仿宋" w:hAnsi="仿宋" w:eastAsia="仿宋" w:cs="仿宋"/>
          <w:color w:val="000000" w:themeColor="text1"/>
          <w:sz w:val="32"/>
          <w:szCs w:val="32"/>
          <w:highlight w:val="none"/>
          <w:u w:val="none"/>
          <w14:textFill>
            <w14:solidFill>
              <w14:schemeClr w14:val="tx1"/>
            </w14:solidFill>
          </w14:textFill>
        </w:rPr>
        <w:t>先进经验。</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七</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开展安全生产精准执法和帮扶行动。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26</w:t>
      </w:r>
      <w:r>
        <w:rPr>
          <w:rFonts w:hint="eastAsia" w:ascii="仿宋" w:hAnsi="仿宋" w:eastAsia="仿宋" w:cs="仿宋"/>
          <w:color w:val="000000" w:themeColor="text1"/>
          <w:sz w:val="32"/>
          <w:szCs w:val="32"/>
          <w:highlight w:val="none"/>
          <w:u w:val="none"/>
          <w14:textFill>
            <w14:solidFill>
              <w14:schemeClr w14:val="tx1"/>
            </w14:solidFill>
          </w14:textFill>
        </w:rPr>
        <w:t>.</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各行业领域安全生产举报制度机制，落实奖励资金、完善保密制度，鼓励生产经营单位建立从业人员内部隐患报告和奖励机制，充分发动社会公众和从业人员举报生产经营单位存在的重大事故隐患，及时发现生产经营单位的各类违法违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27</w:t>
      </w:r>
      <w:r>
        <w:rPr>
          <w:rFonts w:hint="eastAsia" w:ascii="仿宋" w:hAnsi="仿宋" w:eastAsia="仿宋" w:cs="仿宋"/>
          <w:color w:val="000000" w:themeColor="text1"/>
          <w:sz w:val="32"/>
          <w:szCs w:val="32"/>
          <w:highlight w:val="none"/>
          <w:u w:val="none"/>
          <w14:textFill>
            <w14:solidFill>
              <w14:schemeClr w14:val="tx1"/>
            </w14:solidFill>
          </w14:textFill>
        </w:rPr>
        <w:t>.综合运用“四不两直”、明查暗访、异地交叉执法等方式，聚焦重大事故隐患排查整治，深入推进精准执法，集中挂牌、公布、曝光、处理一批重大事故隐患，对“零处罚”“只检查不处罚”等执法“宽松软虚”的</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县区</w:t>
      </w:r>
      <w:r>
        <w:rPr>
          <w:rFonts w:hint="eastAsia" w:ascii="仿宋" w:hAnsi="仿宋" w:eastAsia="仿宋" w:cs="仿宋"/>
          <w:color w:val="000000" w:themeColor="text1"/>
          <w:sz w:val="32"/>
          <w:szCs w:val="32"/>
          <w:highlight w:val="none"/>
          <w:u w:val="none"/>
          <w14:textFill>
            <w14:solidFill>
              <w14:schemeClr w14:val="tx1"/>
            </w14:solidFill>
          </w14:textFill>
        </w:rPr>
        <w:t>进行约谈通报</w:t>
      </w:r>
      <w:r>
        <w:rPr>
          <w:rFonts w:hint="eastAsia" w:ascii="仿宋" w:hAnsi="仿宋" w:eastAsia="仿宋" w:cs="仿宋"/>
          <w:color w:val="000000" w:themeColor="text1"/>
          <w:sz w:val="32"/>
          <w:szCs w:val="32"/>
          <w:highlight w:val="none"/>
          <w:u w:val="none"/>
          <w:lang w:eastAsia="zh-CN"/>
          <w14:textFill>
            <w14:solidFill>
              <w14:schemeClr w14:val="tx1"/>
            </w14:solidFill>
          </w14:textFill>
        </w:rPr>
        <w:t>、</w:t>
      </w:r>
      <w:r>
        <w:rPr>
          <w:rFonts w:hint="eastAsia" w:ascii="仿宋" w:hAnsi="仿宋" w:eastAsia="仿宋" w:cs="仿宋"/>
          <w:color w:val="000000" w:themeColor="text1"/>
          <w:sz w:val="32"/>
          <w:szCs w:val="32"/>
          <w:highlight w:val="none"/>
          <w:u w:val="none"/>
          <w14:textFill>
            <w14:solidFill>
              <w14:schemeClr w14:val="tx1"/>
            </w14:solidFill>
          </w14:textFill>
        </w:rPr>
        <w:t>“红黄牌”警示。对无需审批备案但具有较大安全风险的生产经营活动，加大现场执法检查力度，完善“双随机”抽查检查工作机制，严防小施工、小作业惹大事。对严重违法行为依法采取停产整顿、关闭取缔、上限处罚、联合惩戒、“一案双罚”等手段，落实行刑衔接机制，严厉打击各类非法违法行为。对发生重特大事故负有责任的生产经营单位的主要负责人、实际控制人，明确终身不得担任本行业生产经营单位的主要负责人</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，对发生一般和较大生产安全事故负有责任的，依法依规从严处罚</w:t>
      </w:r>
      <w:r>
        <w:rPr>
          <w:rFonts w:hint="eastAsia" w:ascii="仿宋" w:hAnsi="仿宋" w:eastAsia="仿宋" w:cs="仿宋"/>
          <w:color w:val="000000" w:themeColor="text1"/>
          <w:sz w:val="32"/>
          <w:szCs w:val="32"/>
          <w:highlight w:val="none"/>
          <w:u w:val="none"/>
          <w14:textFill>
            <w14:solidFill>
              <w14:schemeClr w14:val="tx1"/>
            </w14:solidFill>
          </w14:textFill>
        </w:rPr>
        <w:t>。</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落实</w:t>
      </w:r>
      <w:r>
        <w:rPr>
          <w:rFonts w:hint="eastAsia" w:ascii="仿宋" w:hAnsi="仿宋" w:eastAsia="仿宋" w:cs="仿宋"/>
          <w:color w:val="000000" w:themeColor="text1"/>
          <w:sz w:val="32"/>
          <w:szCs w:val="32"/>
          <w:highlight w:val="none"/>
          <w:u w:val="none"/>
          <w14:textFill>
            <w14:solidFill>
              <w14:schemeClr w14:val="tx1"/>
            </w14:solidFill>
          </w14:textFill>
        </w:rPr>
        <w:t>各行业领域安全生产监管监察执法统计、执法考评和典型案例报送制度，完善行政裁量权基准，组织开展执法练兵和比武竞赛。加大“互联网+执法”推广应用力度，推动现场执法检查和线上巡查执法有机结合，持续提高执法效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28</w:t>
      </w:r>
      <w:r>
        <w:rPr>
          <w:rFonts w:hint="eastAsia" w:ascii="仿宋" w:hAnsi="仿宋" w:eastAsia="仿宋" w:cs="仿宋"/>
          <w:color w:val="000000" w:themeColor="text1"/>
          <w:sz w:val="32"/>
          <w:szCs w:val="32"/>
          <w:highlight w:val="none"/>
          <w:u w:val="none"/>
          <w14:textFill>
            <w14:solidFill>
              <w14:schemeClr w14:val="tx1"/>
            </w14:solidFill>
          </w14:textFill>
        </w:rPr>
        <w:t>.综合统筹乡镇（街道）安全生产监管、消防工作、防灾减灾救灾、应急救援等人员力量，强化责任落实，共同做好安全检查、安全宣传、应急救援等工作，制定风险辨识检查清单和检查指导手册，帮扶指导县区、部门、乡镇开展风险辨识和安全检查</w:t>
      </w:r>
      <w:r>
        <w:rPr>
          <w:rFonts w:hint="eastAsia" w:ascii="仿宋" w:hAnsi="仿宋" w:eastAsia="仿宋" w:cs="仿宋"/>
          <w:color w:val="000000" w:themeColor="text1"/>
          <w:sz w:val="32"/>
          <w:szCs w:val="32"/>
          <w:highlight w:val="none"/>
          <w:u w:val="none"/>
          <w:lang w:eastAsia="zh-CN"/>
          <w14:textFill>
            <w14:solidFill>
              <w14:schemeClr w14:val="tx1"/>
            </w14:solidFill>
          </w14:textFill>
        </w:rPr>
        <w:t>，</w:t>
      </w:r>
      <w:r>
        <w:rPr>
          <w:rFonts w:hint="eastAsia" w:ascii="仿宋" w:hAnsi="仿宋" w:eastAsia="仿宋" w:cs="仿宋"/>
          <w:color w:val="000000" w:themeColor="text1"/>
          <w:sz w:val="32"/>
          <w:szCs w:val="32"/>
          <w:highlight w:val="none"/>
          <w:u w:val="none"/>
          <w14:textFill>
            <w14:solidFill>
              <w14:schemeClr w14:val="tx1"/>
            </w14:solidFill>
          </w14:textFill>
        </w:rPr>
        <w:t>推动安全生产监管服务向基层末梢延伸。加强各级安全生产行政执法人员执法装备配备，推动应急管理综合执法队伍规范化建设。落实好安全生产专业应急救援队伍动态管理机制，根据安全生产应急救援工作需要合理确定队伍规模，强化地方骨</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干</w:t>
      </w:r>
      <w:r>
        <w:rPr>
          <w:rFonts w:hint="eastAsia" w:ascii="仿宋" w:hAnsi="仿宋" w:eastAsia="仿宋" w:cs="仿宋"/>
          <w:color w:val="000000" w:themeColor="text1"/>
          <w:sz w:val="32"/>
          <w:szCs w:val="32"/>
          <w:highlight w:val="none"/>
          <w:u w:val="none"/>
          <w14:textFill>
            <w14:solidFill>
              <w14:schemeClr w14:val="tx1"/>
            </w14:solidFill>
          </w14:textFill>
        </w:rPr>
        <w:t>专业安全生产救援队伍建设，全面提升技术装备现代化水平，强化专业应急救援支撑保障。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u w:val="none"/>
          <w:lang w:eastAsia="zh-CN"/>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29</w:t>
      </w:r>
      <w:r>
        <w:rPr>
          <w:rFonts w:hint="eastAsia" w:ascii="仿宋" w:hAnsi="仿宋" w:eastAsia="仿宋" w:cs="仿宋"/>
          <w:color w:val="000000" w:themeColor="text1"/>
          <w:sz w:val="32"/>
          <w:szCs w:val="32"/>
          <w:highlight w:val="none"/>
          <w:u w:val="none"/>
          <w14:textFill>
            <w14:solidFill>
              <w14:schemeClr w14:val="tx1"/>
            </w14:solidFill>
          </w14:textFill>
        </w:rPr>
        <w:t>.聚焦重大事故隐患排查整治，强化基层安全监管执法人员能力培训。三年内，对全</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市</w:t>
      </w:r>
      <w:r>
        <w:rPr>
          <w:rFonts w:hint="eastAsia" w:ascii="仿宋" w:hAnsi="仿宋" w:eastAsia="仿宋" w:cs="仿宋"/>
          <w:color w:val="000000" w:themeColor="text1"/>
          <w:sz w:val="32"/>
          <w:szCs w:val="32"/>
          <w:highlight w:val="none"/>
          <w:u w:val="none"/>
          <w14:textFill>
            <w14:solidFill>
              <w14:schemeClr w14:val="tx1"/>
            </w14:solidFill>
          </w14:textFill>
        </w:rPr>
        <w:t>安全监管执法人员开展跟班集中培训。组织编制执法培训</w:t>
      </w:r>
      <w:r>
        <w:rPr>
          <w:rFonts w:hint="eastAsia" w:ascii="仿宋" w:hAnsi="仿宋" w:eastAsia="仿宋" w:cs="仿宋"/>
          <w:color w:val="000000" w:themeColor="text1"/>
          <w:sz w:val="32"/>
          <w:szCs w:val="32"/>
          <w:highlight w:val="none"/>
          <w:u w:val="none"/>
          <w:lang w:eastAsia="zh-CN"/>
          <w14:textFill>
            <w14:solidFill>
              <w14:schemeClr w14:val="tx1"/>
            </w14:solidFill>
          </w14:textFill>
        </w:rPr>
        <w:t>计划</w:t>
      </w:r>
      <w:r>
        <w:rPr>
          <w:rFonts w:hint="eastAsia" w:ascii="仿宋" w:hAnsi="仿宋" w:eastAsia="仿宋" w:cs="仿宋"/>
          <w:color w:val="000000" w:themeColor="text1"/>
          <w:sz w:val="32"/>
          <w:szCs w:val="32"/>
          <w:highlight w:val="none"/>
          <w:u w:val="none"/>
          <w14:textFill>
            <w14:solidFill>
              <w14:schemeClr w14:val="tx1"/>
            </w14:solidFill>
          </w14:textFill>
        </w:rPr>
        <w:t>，推动各地开展形式多样的执法业务培训，不断提高培训系统化规范化水平。2024年底前，市</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县</w:t>
      </w:r>
      <w:r>
        <w:rPr>
          <w:rFonts w:hint="eastAsia" w:ascii="仿宋" w:hAnsi="仿宋" w:eastAsia="仿宋" w:cs="仿宋"/>
          <w:color w:val="000000" w:themeColor="text1"/>
          <w:sz w:val="32"/>
          <w:szCs w:val="32"/>
          <w:highlight w:val="none"/>
          <w:u w:val="none"/>
          <w14:textFill>
            <w14:solidFill>
              <w14:schemeClr w14:val="tx1"/>
            </w14:solidFill>
          </w14:textFill>
        </w:rPr>
        <w:t>有关部门统筹建立安全生产专家库，充分利用外部专业力量提高执法检查质效。组织对高危行业领域生产经营单位分级开展安全执法指导帮扶。大力选聘执法技术检查员参与安全生产监管执法，完善通过政府购买服务辅助开展监督检查的工作机制，切实提升基层安全监管能力。推动保险机构积极参与高危行业领域企业重大事故隐患排查整治工作。</w:t>
      </w:r>
    </w:p>
    <w:p>
      <w:pPr>
        <w:keepNext w:val="0"/>
        <w:keepLines w:val="0"/>
        <w:pageBreakBefore w:val="0"/>
        <w:wordWrap/>
        <w:overflowPunct/>
        <w:topLinePunct w:val="0"/>
        <w:bidi w:val="0"/>
        <w:spacing w:line="560" w:lineRule="exact"/>
        <w:ind w:firstLine="640" w:firstLineChars="200"/>
        <w:jc w:val="both"/>
        <w:rPr>
          <w:rFonts w:ascii="楷体" w:hAnsi="楷体" w:eastAsia="楷体" w:cs="Times New Roman"/>
          <w:b w:val="0"/>
          <w:bCs w:val="0"/>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八</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开展全民安全素质提升行动。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30.全面推进“案例教育法”，</w:t>
      </w:r>
      <w:r>
        <w:rPr>
          <w:rFonts w:hint="eastAsia" w:ascii="仿宋" w:hAnsi="仿宋" w:eastAsia="仿宋" w:cs="仿宋"/>
          <w:color w:val="000000" w:themeColor="text1"/>
          <w:sz w:val="32"/>
          <w:szCs w:val="32"/>
          <w:highlight w:val="none"/>
          <w:u w:val="none"/>
          <w14:textFill>
            <w14:solidFill>
              <w14:schemeClr w14:val="tx1"/>
            </w14:solidFill>
          </w14:textFill>
        </w:rPr>
        <w:t>加强全民安全生产宣传教育，</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持续开展消防案例“敲门行动”，</w:t>
      </w:r>
      <w:r>
        <w:rPr>
          <w:rFonts w:hint="eastAsia" w:ascii="仿宋" w:hAnsi="仿宋" w:eastAsia="仿宋" w:cs="仿宋"/>
          <w:color w:val="000000" w:themeColor="text1"/>
          <w:sz w:val="32"/>
          <w:szCs w:val="32"/>
          <w:highlight w:val="none"/>
          <w:u w:val="none"/>
          <w14:textFill>
            <w14:solidFill>
              <w14:schemeClr w14:val="tx1"/>
            </w14:solidFill>
          </w14:textFill>
        </w:rPr>
        <w:t>聚焦“人人讲安全，个个会应急”这个主题和目标，持续开展安全生产月、消防宣传月、安全宣传咨询日等活动，将安全教育纳入国民教育体系，引导公众践行安全的生产生活方式，</w:t>
      </w:r>
      <w:r>
        <w:rPr>
          <w:rFonts w:hint="eastAsia" w:ascii="仿宋" w:hAnsi="仿宋" w:eastAsia="仿宋" w:cs="仿宋"/>
          <w:color w:val="000000" w:themeColor="text1"/>
          <w:sz w:val="32"/>
          <w:szCs w:val="32"/>
          <w:highlight w:val="none"/>
          <w:u w:val="none"/>
          <w:lang w:eastAsia="zh-CN"/>
          <w14:textFill>
            <w14:solidFill>
              <w14:schemeClr w14:val="tx1"/>
            </w14:solidFill>
          </w14:textFill>
        </w:rPr>
        <w:t>运用“案例教育法”</w:t>
      </w:r>
      <w:r>
        <w:rPr>
          <w:rFonts w:hint="eastAsia" w:ascii="仿宋" w:hAnsi="仿宋" w:eastAsia="仿宋" w:cs="仿宋"/>
          <w:color w:val="000000" w:themeColor="text1"/>
          <w:sz w:val="32"/>
          <w:szCs w:val="32"/>
          <w:highlight w:val="none"/>
          <w:u w:val="none"/>
          <w14:textFill>
            <w14:solidFill>
              <w14:schemeClr w14:val="tx1"/>
            </w14:solidFill>
          </w14:textFill>
        </w:rPr>
        <w:t>推动安全宣传进企业、进农村、进社区、进学校、进家庭。落实“谁执法谁普法”普法责任制，深入开展安全生产法治宣传教育。</w:t>
      </w: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每季度制作安全生产警示片，</w:t>
      </w:r>
      <w:r>
        <w:rPr>
          <w:rFonts w:hint="eastAsia" w:ascii="仿宋" w:hAnsi="仿宋" w:eastAsia="仿宋" w:cs="仿宋"/>
          <w:strike w:val="0"/>
          <w:dstrike w:val="0"/>
          <w:color w:val="000000" w:themeColor="text1"/>
          <w:sz w:val="32"/>
          <w:szCs w:val="32"/>
          <w:highlight w:val="none"/>
          <w:u w:val="none"/>
          <w:lang w:val="en-US" w:eastAsia="zh-CN"/>
          <w14:textFill>
            <w14:solidFill>
              <w14:schemeClr w14:val="tx1"/>
            </w14:solidFill>
          </w14:textFill>
        </w:rPr>
        <w:t>在市安委会全体成员会议上播放。</w:t>
      </w:r>
      <w:r>
        <w:rPr>
          <w:rFonts w:hint="eastAsia" w:ascii="仿宋" w:hAnsi="仿宋" w:eastAsia="仿宋" w:cs="仿宋"/>
          <w:color w:val="000000" w:themeColor="text1"/>
          <w:sz w:val="32"/>
          <w:szCs w:val="32"/>
          <w:highlight w:val="none"/>
          <w:u w:val="none"/>
          <w14:textFill>
            <w14:solidFill>
              <w14:schemeClr w14:val="tx1"/>
            </w14:solidFill>
          </w14:textFill>
        </w:rPr>
        <w:t>推动在市、县电视等媒体设置安全生产专题栏目，定期讲解安全生产知识、介绍安全生产典型经验做法、曝光存在的突出问题，制作播放安全警示宣传片强化典型事故教训吸取。因地制宜加快建设安全科普宣传教育和安全体验基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31.</w:t>
      </w:r>
      <w:r>
        <w:rPr>
          <w:rFonts w:hint="eastAsia" w:ascii="仿宋" w:hAnsi="仿宋" w:eastAsia="仿宋" w:cs="仿宋"/>
          <w:color w:val="000000" w:themeColor="text1"/>
          <w:sz w:val="32"/>
          <w:szCs w:val="32"/>
          <w:highlight w:val="none"/>
          <w:u w:val="none"/>
          <w14:textFill>
            <w14:solidFill>
              <w14:schemeClr w14:val="tx1"/>
            </w14:solidFill>
          </w14:textFill>
        </w:rPr>
        <w:t>开展公共安全文化建设</w:t>
      </w:r>
      <w:r>
        <w:rPr>
          <w:rFonts w:hint="eastAsia" w:ascii="仿宋" w:hAnsi="仿宋" w:eastAsia="仿宋" w:cs="仿宋"/>
          <w:color w:val="000000" w:themeColor="text1"/>
          <w:sz w:val="32"/>
          <w:szCs w:val="32"/>
          <w:highlight w:val="none"/>
          <w:u w:val="none"/>
          <w:lang w:eastAsia="zh-CN"/>
          <w14:textFill>
            <w14:solidFill>
              <w14:schemeClr w14:val="tx1"/>
            </w14:solidFill>
          </w14:textFill>
        </w:rPr>
        <w:t>行动</w:t>
      </w:r>
      <w:r>
        <w:rPr>
          <w:rFonts w:hint="eastAsia" w:ascii="仿宋" w:hAnsi="仿宋" w:eastAsia="仿宋" w:cs="仿宋"/>
          <w:color w:val="000000" w:themeColor="text1"/>
          <w:sz w:val="32"/>
          <w:szCs w:val="32"/>
          <w:highlight w:val="none"/>
          <w:u w:val="none"/>
          <w14:textFill>
            <w14:solidFill>
              <w14:schemeClr w14:val="tx1"/>
            </w14:solidFill>
          </w14:textFill>
        </w:rPr>
        <w:t>。学习贯彻落实习近平总书记关于安全生产重要论述，牢固树立安全发展理念，开展企业主要负责人谈心谈话活动。以“互联网+”“5·12”全国防灾减灾日、“安全生产月”</w:t>
      </w:r>
      <w:r>
        <w:rPr>
          <w:rFonts w:hint="eastAsia" w:ascii="仿宋" w:hAnsi="仿宋" w:eastAsia="仿宋" w:cs="仿宋"/>
          <w:color w:val="000000" w:themeColor="text1"/>
          <w:sz w:val="32"/>
          <w:szCs w:val="32"/>
          <w:highlight w:val="none"/>
          <w:u w:val="none"/>
          <w:lang w:eastAsia="zh-CN"/>
          <w14:textFill>
            <w14:solidFill>
              <w14:schemeClr w14:val="tx1"/>
            </w14:solidFill>
          </w14:textFill>
        </w:rPr>
        <w:t>、</w:t>
      </w:r>
      <w:r>
        <w:rPr>
          <w:rFonts w:hint="eastAsia" w:ascii="仿宋" w:hAnsi="仿宋" w:eastAsia="仿宋" w:cs="仿宋"/>
          <w:color w:val="000000" w:themeColor="text1"/>
          <w:sz w:val="32"/>
          <w:szCs w:val="32"/>
          <w:highlight w:val="none"/>
          <w:u w:val="none"/>
          <w14:textFill>
            <w14:solidFill>
              <w14:schemeClr w14:val="tx1"/>
            </w14:solidFill>
          </w14:textFill>
        </w:rPr>
        <w:t>“安全生产</w:t>
      </w:r>
      <w:r>
        <w:rPr>
          <w:rFonts w:hint="eastAsia" w:ascii="仿宋" w:hAnsi="仿宋" w:eastAsia="仿宋" w:cs="仿宋"/>
          <w:color w:val="000000" w:themeColor="text1"/>
          <w:sz w:val="32"/>
          <w:szCs w:val="32"/>
          <w:highlight w:val="none"/>
          <w:u w:val="none"/>
          <w:lang w:eastAsia="zh-CN"/>
          <w14:textFill>
            <w14:solidFill>
              <w14:schemeClr w14:val="tx1"/>
            </w14:solidFill>
          </w14:textFill>
        </w:rPr>
        <w:t>走基层</w:t>
      </w:r>
      <w:r>
        <w:rPr>
          <w:rFonts w:hint="eastAsia" w:ascii="仿宋" w:hAnsi="仿宋" w:eastAsia="仿宋" w:cs="仿宋"/>
          <w:color w:val="000000" w:themeColor="text1"/>
          <w:sz w:val="32"/>
          <w:szCs w:val="32"/>
          <w:highlight w:val="none"/>
          <w:u w:val="none"/>
          <w14:textFill>
            <w14:solidFill>
              <w14:schemeClr w14:val="tx1"/>
            </w14:solidFill>
          </w14:textFill>
        </w:rPr>
        <w:t>”</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、广播电视专栏</w:t>
      </w:r>
      <w:r>
        <w:rPr>
          <w:rFonts w:hint="eastAsia" w:ascii="仿宋" w:hAnsi="仿宋" w:eastAsia="仿宋" w:cs="仿宋"/>
          <w:color w:val="000000" w:themeColor="text1"/>
          <w:sz w:val="32"/>
          <w:szCs w:val="32"/>
          <w:highlight w:val="none"/>
          <w:u w:val="none"/>
          <w14:textFill>
            <w14:solidFill>
              <w14:schemeClr w14:val="tx1"/>
            </w14:solidFill>
          </w14:textFill>
        </w:rPr>
        <w:t>等平台或活动为载体，广泛开展安全应急科普宣教活动，充分发挥安全文化在企业安全生产中的引领、警示、教育和规范作用，深入推进安全文化建设示范企业创建工作，推进各级安委会建设灾害事故科普宣传教育、安全法治宣传和安全体验基地，推进公共安全设施建设，持续开展综合减灾示范单位创建工作，持续开展应急科普宣传，在全社会营造</w:t>
      </w:r>
      <w:r>
        <w:rPr>
          <w:rFonts w:hint="eastAsia" w:ascii="仿宋" w:hAnsi="仿宋" w:eastAsia="仿宋" w:cs="仿宋"/>
          <w:color w:val="000000" w:themeColor="text1"/>
          <w:sz w:val="32"/>
          <w:szCs w:val="32"/>
          <w:highlight w:val="none"/>
          <w:u w:val="none"/>
          <w:lang w:eastAsia="zh-CN"/>
          <w14:textFill>
            <w14:solidFill>
              <w14:schemeClr w14:val="tx1"/>
            </w14:solidFill>
          </w14:textFill>
        </w:rPr>
        <w:t>“</w:t>
      </w:r>
      <w:r>
        <w:rPr>
          <w:rFonts w:hint="eastAsia" w:ascii="仿宋" w:hAnsi="仿宋" w:eastAsia="仿宋" w:cs="仿宋"/>
          <w:color w:val="000000" w:themeColor="text1"/>
          <w:sz w:val="32"/>
          <w:szCs w:val="32"/>
          <w:highlight w:val="none"/>
          <w:u w:val="none"/>
          <w14:textFill>
            <w14:solidFill>
              <w14:schemeClr w14:val="tx1"/>
            </w14:solidFill>
          </w14:textFill>
        </w:rPr>
        <w:t>人人讲安全、人人会安全</w:t>
      </w:r>
      <w:r>
        <w:rPr>
          <w:rFonts w:hint="eastAsia" w:ascii="仿宋" w:hAnsi="仿宋" w:eastAsia="仿宋" w:cs="仿宋"/>
          <w:color w:val="000000" w:themeColor="text1"/>
          <w:sz w:val="32"/>
          <w:szCs w:val="32"/>
          <w:highlight w:val="none"/>
          <w:u w:val="none"/>
          <w:lang w:eastAsia="zh-CN"/>
          <w14:textFill>
            <w14:solidFill>
              <w14:schemeClr w14:val="tx1"/>
            </w14:solidFill>
          </w14:textFill>
        </w:rPr>
        <w:t>”</w:t>
      </w:r>
      <w:r>
        <w:rPr>
          <w:rFonts w:hint="eastAsia" w:ascii="仿宋" w:hAnsi="仿宋" w:eastAsia="仿宋" w:cs="仿宋"/>
          <w:color w:val="000000" w:themeColor="text1"/>
          <w:sz w:val="32"/>
          <w:szCs w:val="32"/>
          <w:highlight w:val="none"/>
          <w:u w:val="none"/>
          <w14:textFill>
            <w14:solidFill>
              <w14:schemeClr w14:val="tx1"/>
            </w14:solidFill>
          </w14:textFill>
        </w:rPr>
        <w:t>的浓厚安全文化建设氛围，提升全民安全生产和科学应急意识，真正实现以文化促安全，以安全促发展，抓好安全标准化体系的建设，打造本质安全型企业，进一步提升全社会整体安全水平，实现安全发展、和谐发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32</w:t>
      </w:r>
      <w:r>
        <w:rPr>
          <w:rFonts w:hint="eastAsia" w:ascii="仿宋" w:hAnsi="仿宋" w:eastAsia="仿宋" w:cs="仿宋"/>
          <w:color w:val="000000" w:themeColor="text1"/>
          <w:sz w:val="32"/>
          <w:szCs w:val="32"/>
          <w:highlight w:val="none"/>
          <w:u w:val="none"/>
          <w14:textFill>
            <w14:solidFill>
              <w14:schemeClr w14:val="tx1"/>
            </w14:solidFill>
          </w14:textFill>
        </w:rPr>
        <w:t>.深化公路水运建设“平安工程”“平安农机”“平安渔业”“安康杯”竞赛、青年安全生产示范岗、安全文化示范企业等示范创建工作，在全</w:t>
      </w:r>
      <w:r>
        <w:rPr>
          <w:rFonts w:hint="eastAsia" w:ascii="仿宋" w:hAnsi="仿宋" w:eastAsia="仿宋" w:cs="仿宋"/>
          <w:color w:val="000000" w:themeColor="text1"/>
          <w:sz w:val="32"/>
          <w:szCs w:val="32"/>
          <w:highlight w:val="none"/>
          <w:u w:val="none"/>
          <w:lang w:eastAsia="zh-CN"/>
          <w14:textFill>
            <w14:solidFill>
              <w14:schemeClr w14:val="tx1"/>
            </w14:solidFill>
          </w14:textFill>
        </w:rPr>
        <w:t>市</w:t>
      </w:r>
      <w:r>
        <w:rPr>
          <w:rFonts w:hint="eastAsia" w:ascii="仿宋" w:hAnsi="仿宋" w:eastAsia="仿宋" w:cs="仿宋"/>
          <w:color w:val="000000" w:themeColor="text1"/>
          <w:sz w:val="32"/>
          <w:szCs w:val="32"/>
          <w:highlight w:val="none"/>
          <w:u w:val="none"/>
          <w14:textFill>
            <w14:solidFill>
              <w14:schemeClr w14:val="tx1"/>
            </w14:solidFill>
          </w14:textFill>
        </w:rPr>
        <w:t>评选一批安全生产工作先进的企业、单位和个人，强化示范引领作用。</w:t>
      </w:r>
    </w:p>
    <w:p>
      <w:pPr>
        <w:pStyle w:val="1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楷体" w:hAnsi="楷体" w:eastAsia="楷体" w:cs="Times New Roman"/>
          <w:b w:val="0"/>
          <w:bCs w:val="0"/>
          <w:snapToGrid w:val="0"/>
          <w:color w:val="000000" w:themeColor="text1"/>
          <w:kern w:val="0"/>
          <w:sz w:val="32"/>
          <w:szCs w:val="32"/>
          <w:u w:val="none"/>
          <w:lang w:val="en-US" w:eastAsia="zh-CN" w:bidi="ar-SA"/>
          <w14:textFill>
            <w14:solidFill>
              <w14:schemeClr w14:val="tx1"/>
            </w14:solidFill>
          </w14:textFill>
        </w:rPr>
      </w:pPr>
      <w:r>
        <w:rPr>
          <w:rFonts w:hint="eastAsia" w:ascii="楷体" w:hAnsi="楷体" w:eastAsia="楷体" w:cs="Times New Roman"/>
          <w:b w:val="0"/>
          <w:bCs w:val="0"/>
          <w:snapToGrid w:val="0"/>
          <w:color w:val="000000" w:themeColor="text1"/>
          <w:kern w:val="0"/>
          <w:sz w:val="32"/>
          <w:szCs w:val="32"/>
          <w:u w:val="none"/>
          <w:lang w:val="en-US" w:eastAsia="zh-CN" w:bidi="ar-SA"/>
          <w14:textFill>
            <w14:solidFill>
              <w14:schemeClr w14:val="tx1"/>
            </w14:solidFill>
          </w14:textFill>
        </w:rPr>
        <w:t>（九）开展安全生产“打非治违”专项行动。</w:t>
      </w:r>
    </w:p>
    <w:p>
      <w:pPr>
        <w:pStyle w:val="13"/>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仿宋" w:hAnsi="仿宋" w:eastAsia="仿宋" w:cs="仿宋"/>
          <w:color w:val="000000" w:themeColor="text1"/>
          <w:sz w:val="32"/>
          <w:szCs w:val="32"/>
          <w:highlight w:val="none"/>
          <w:u w:val="none"/>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33.</w:t>
      </w:r>
      <w:r>
        <w:rPr>
          <w:rFonts w:hint="eastAsia" w:ascii="仿宋" w:hAnsi="仿宋" w:eastAsia="仿宋" w:cs="仿宋"/>
          <w:color w:val="000000" w:themeColor="text1"/>
          <w:sz w:val="32"/>
          <w:szCs w:val="32"/>
          <w:highlight w:val="none"/>
          <w:u w:val="none"/>
          <w14:textFill>
            <w14:solidFill>
              <w14:schemeClr w14:val="tx1"/>
            </w14:solidFill>
          </w14:textFill>
        </w:rPr>
        <w:t>以交通运输、建设工程施工、危险化学品、煤矿、烟花爆竹、消防、工贸、</w:t>
      </w:r>
      <w:r>
        <w:rPr>
          <w:rFonts w:hint="eastAsia" w:ascii="仿宋" w:hAnsi="仿宋" w:eastAsia="仿宋" w:cs="仿宋"/>
          <w:color w:val="000000" w:themeColor="text1"/>
          <w:sz w:val="32"/>
          <w:szCs w:val="32"/>
          <w:highlight w:val="none"/>
          <w:u w:val="none"/>
          <w:lang w:eastAsia="zh-CN"/>
          <w14:textFill>
            <w14:solidFill>
              <w14:schemeClr w14:val="tx1"/>
            </w14:solidFill>
          </w14:textFill>
        </w:rPr>
        <w:t>成品油、</w:t>
      </w:r>
      <w:r>
        <w:rPr>
          <w:rFonts w:hint="eastAsia" w:ascii="仿宋" w:hAnsi="仿宋" w:eastAsia="仿宋" w:cs="仿宋"/>
          <w:color w:val="000000" w:themeColor="text1"/>
          <w:sz w:val="32"/>
          <w:szCs w:val="32"/>
          <w:highlight w:val="none"/>
          <w:u w:val="none"/>
          <w14:textFill>
            <w14:solidFill>
              <w14:schemeClr w14:val="tx1"/>
            </w14:solidFill>
          </w14:textFill>
        </w:rPr>
        <w:t>城市运行、特种设备等行业领域为重点，紧盯无证、无资质、证照不全或过期、超许可（资质）范围从事生产、开采、经营、建设、储存、运输等活动，关闭取缔后又擅自生产经营建设的，瞒报、谎报、迟报生产安全事故，拒不执行安全监管监察指令、抗拒安全执法等非法违法行为，铁心硬手、重拳出击，有效治理安全生产存在的薄弱环节和突出问题。</w:t>
      </w:r>
    </w:p>
    <w:p>
      <w:pPr>
        <w:pStyle w:val="7"/>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jc w:val="both"/>
        <w:textAlignment w:val="auto"/>
        <w:rPr>
          <w:rFonts w:hint="eastAsia" w:ascii="楷体" w:hAnsi="楷体" w:eastAsia="楷体" w:cs="Times New Roman"/>
          <w:b w:val="0"/>
          <w:bCs w:val="0"/>
          <w:snapToGrid w:val="0"/>
          <w:color w:val="000000" w:themeColor="text1"/>
          <w:kern w:val="0"/>
          <w:sz w:val="32"/>
          <w:szCs w:val="32"/>
          <w:u w:val="none"/>
          <w:lang w:val="en-US" w:eastAsia="zh-CN" w:bidi="ar-SA"/>
          <w14:textFill>
            <w14:solidFill>
              <w14:schemeClr w14:val="tx1"/>
            </w14:solidFill>
          </w14:textFill>
        </w:rPr>
      </w:pPr>
      <w:r>
        <w:rPr>
          <w:rFonts w:hint="eastAsia" w:ascii="楷体" w:hAnsi="楷体" w:eastAsia="楷体" w:cs="Times New Roman"/>
          <w:b w:val="0"/>
          <w:bCs w:val="0"/>
          <w:snapToGrid w:val="0"/>
          <w:color w:val="000000" w:themeColor="text1"/>
          <w:kern w:val="0"/>
          <w:sz w:val="32"/>
          <w:szCs w:val="32"/>
          <w:u w:val="none"/>
          <w:lang w:val="en-US" w:eastAsia="zh-CN" w:bidi="ar-SA"/>
          <w14:textFill>
            <w14:solidFill>
              <w14:schemeClr w14:val="tx1"/>
            </w14:solidFill>
          </w14:textFill>
        </w:rPr>
        <w:t>（十）开展应急救援能力提升行动。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snapToGrid/>
          <w:color w:val="000000" w:themeColor="text1"/>
          <w:kern w:val="2"/>
          <w:sz w:val="32"/>
          <w:szCs w:val="32"/>
          <w:highlight w:val="none"/>
          <w:u w:val="none"/>
          <w:lang w:val="en-US" w:eastAsia="zh-CN" w:bidi="ar-SA"/>
          <w14:textFill>
            <w14:solidFill>
              <w14:schemeClr w14:val="tx1"/>
            </w14:solidFill>
          </w14:textFill>
        </w:rPr>
      </w:pPr>
      <w:r>
        <w:rPr>
          <w:rFonts w:hint="eastAsia" w:ascii="仿宋" w:hAnsi="仿宋" w:eastAsia="仿宋" w:cs="仿宋"/>
          <w:color w:val="000000" w:themeColor="text1"/>
          <w:sz w:val="32"/>
          <w:szCs w:val="32"/>
          <w:highlight w:val="none"/>
          <w:u w:val="none"/>
          <w:lang w:val="en-US" w:eastAsia="zh-CN"/>
          <w14:textFill>
            <w14:solidFill>
              <w14:schemeClr w14:val="tx1"/>
            </w14:solidFill>
          </w14:textFill>
        </w:rPr>
        <w:t>34.</w:t>
      </w:r>
      <w:r>
        <w:rPr>
          <w:rFonts w:hint="eastAsia" w:ascii="仿宋" w:hAnsi="仿宋" w:eastAsia="仿宋" w:cs="仿宋"/>
          <w:snapToGrid/>
          <w:color w:val="000000" w:themeColor="text1"/>
          <w:kern w:val="2"/>
          <w:sz w:val="32"/>
          <w:szCs w:val="32"/>
          <w:highlight w:val="none"/>
          <w:u w:val="none"/>
          <w:lang w:val="en-US" w:eastAsia="zh-CN" w:bidi="ar-SA"/>
          <w14:textFill>
            <w14:solidFill>
              <w14:schemeClr w14:val="tx1"/>
            </w14:solidFill>
          </w14:textFill>
        </w:rPr>
        <w:t>建成市、县区、乡镇、村四级应急救援指挥体系；督导企业落实安全生产主体责任，制定完善应急预案，落实应急演练，依法建设企业应急救援队伍；各级政府及各安全生产管理部门和防灾减灾救灾成员单位要加强预案管理和应急队伍建设，进一步强化对企业应急预案和应急演练工作的管理，进一步推进预案体系的图表化、程序化、手册化、卡片化，不断提高应急预案的可操作性。进一步督导企业应急队伍的建设，积极推进各开发区（园区）应急救援队伍建设，进一步统筹辖区内各类安全生产应急救援队伍建设，进一步建立完善安全生产应急救援联动机制；要统筹规划应急救援队伍的建设，结合安徽省自然灾害应急能力提升工程，组建市、县、乡镇综合救援队伍，加强重点救援队伍装备的配备，结合行业特点优化全市应急救援队伍布局，建立资源共享机制，完善应急联动机制。</w:t>
      </w:r>
    </w:p>
    <w:p>
      <w:pPr>
        <w:keepNext w:val="0"/>
        <w:keepLines w:val="0"/>
        <w:pageBreakBefore w:val="0"/>
        <w:wordWrap/>
        <w:overflowPunct/>
        <w:topLinePunct w:val="0"/>
        <w:bidi w:val="0"/>
        <w:spacing w:line="560" w:lineRule="exact"/>
        <w:ind w:firstLine="640" w:firstLineChars="200"/>
        <w:jc w:val="both"/>
        <w:rPr>
          <w:rFonts w:ascii="黑体" w:hAnsi="黑体" w:eastAsia="黑体" w:cs="宋体"/>
          <w:color w:val="000000" w:themeColor="text1"/>
          <w:sz w:val="32"/>
          <w:szCs w:val="32"/>
          <w:u w:val="none"/>
          <w:lang w:eastAsia="zh-CN"/>
          <w14:textFill>
            <w14:solidFill>
              <w14:schemeClr w14:val="tx1"/>
            </w14:solidFill>
          </w14:textFill>
        </w:rPr>
      </w:pPr>
      <w:r>
        <w:rPr>
          <w:rFonts w:hint="eastAsia" w:ascii="黑体" w:hAnsi="黑体" w:eastAsia="黑体" w:cs="宋体"/>
          <w:color w:val="000000" w:themeColor="text1"/>
          <w:sz w:val="32"/>
          <w:szCs w:val="32"/>
          <w:u w:val="none"/>
          <w:lang w:eastAsia="zh-CN"/>
          <w14:textFill>
            <w14:solidFill>
              <w14:schemeClr w14:val="tx1"/>
            </w14:solidFill>
          </w14:textFill>
        </w:rPr>
        <w:t>三、进度安排</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hint="eastAsia" w:ascii="仿宋" w:hAnsi="仿宋" w:eastAsia="仿宋" w:cs="宋体"/>
          <w:color w:val="000000" w:themeColor="text1"/>
          <w:sz w:val="32"/>
          <w:szCs w:val="32"/>
          <w:u w:val="none"/>
          <w:lang w:eastAsia="zh-CN"/>
          <w14:textFill>
            <w14:solidFill>
              <w14:schemeClr w14:val="tx1"/>
            </w14:solidFill>
          </w14:textFill>
        </w:rPr>
        <w:t>从</w:t>
      </w:r>
      <w:r>
        <w:rPr>
          <w:rFonts w:ascii="仿宋" w:hAnsi="仿宋" w:eastAsia="仿宋"/>
          <w:color w:val="000000" w:themeColor="text1"/>
          <w:sz w:val="32"/>
          <w:szCs w:val="32"/>
          <w:u w:val="none"/>
          <w:lang w:eastAsia="zh-CN"/>
          <w14:textFill>
            <w14:solidFill>
              <w14:schemeClr w14:val="tx1"/>
            </w14:solidFill>
          </w14:textFill>
        </w:rPr>
        <w:t>2024</w:t>
      </w:r>
      <w:r>
        <w:rPr>
          <w:rFonts w:hint="eastAsia" w:ascii="仿宋" w:hAnsi="仿宋" w:eastAsia="仿宋" w:cs="宋体"/>
          <w:color w:val="000000" w:themeColor="text1"/>
          <w:sz w:val="32"/>
          <w:szCs w:val="32"/>
          <w:u w:val="none"/>
          <w:lang w:eastAsia="zh-CN"/>
          <w14:textFill>
            <w14:solidFill>
              <w14:schemeClr w14:val="tx1"/>
            </w14:solidFill>
          </w14:textFill>
        </w:rPr>
        <w:t>年</w:t>
      </w:r>
      <w:r>
        <w:rPr>
          <w:rFonts w:hint="eastAsia" w:ascii="仿宋" w:hAnsi="仿宋" w:eastAsia="仿宋"/>
          <w:color w:val="000000" w:themeColor="text1"/>
          <w:sz w:val="32"/>
          <w:szCs w:val="32"/>
          <w:u w:val="none"/>
          <w:lang w:val="en-US" w:eastAsia="zh-CN"/>
          <w14:textFill>
            <w14:solidFill>
              <w14:schemeClr w14:val="tx1"/>
            </w14:solidFill>
          </w14:textFill>
        </w:rPr>
        <w:t>2</w:t>
      </w:r>
      <w:r>
        <w:rPr>
          <w:rFonts w:hint="eastAsia" w:ascii="仿宋" w:hAnsi="仿宋" w:eastAsia="仿宋" w:cs="宋体"/>
          <w:color w:val="000000" w:themeColor="text1"/>
          <w:sz w:val="32"/>
          <w:szCs w:val="32"/>
          <w:u w:val="none"/>
          <w:lang w:eastAsia="zh-CN"/>
          <w14:textFill>
            <w14:solidFill>
              <w14:schemeClr w14:val="tx1"/>
            </w14:solidFill>
          </w14:textFill>
        </w:rPr>
        <w:t>月至</w:t>
      </w:r>
      <w:r>
        <w:rPr>
          <w:rFonts w:ascii="仿宋" w:hAnsi="仿宋" w:eastAsia="仿宋"/>
          <w:color w:val="000000" w:themeColor="text1"/>
          <w:sz w:val="32"/>
          <w:szCs w:val="32"/>
          <w:u w:val="none"/>
          <w:lang w:eastAsia="zh-CN"/>
          <w14:textFill>
            <w14:solidFill>
              <w14:schemeClr w14:val="tx1"/>
            </w14:solidFill>
          </w14:textFill>
        </w:rPr>
        <w:t>2026</w:t>
      </w:r>
      <w:r>
        <w:rPr>
          <w:rFonts w:hint="eastAsia" w:ascii="仿宋" w:hAnsi="仿宋" w:eastAsia="仿宋" w:cs="宋体"/>
          <w:color w:val="000000" w:themeColor="text1"/>
          <w:sz w:val="32"/>
          <w:szCs w:val="32"/>
          <w:u w:val="none"/>
          <w:lang w:eastAsia="zh-CN"/>
          <w14:textFill>
            <w14:solidFill>
              <w14:schemeClr w14:val="tx1"/>
            </w14:solidFill>
          </w14:textFill>
        </w:rPr>
        <w:t>年</w:t>
      </w:r>
      <w:r>
        <w:rPr>
          <w:rFonts w:ascii="仿宋" w:hAnsi="仿宋" w:eastAsia="仿宋"/>
          <w:color w:val="000000" w:themeColor="text1"/>
          <w:sz w:val="32"/>
          <w:szCs w:val="32"/>
          <w:u w:val="none"/>
          <w:lang w:eastAsia="zh-CN"/>
          <w14:textFill>
            <w14:solidFill>
              <w14:schemeClr w14:val="tx1"/>
            </w14:solidFill>
          </w14:textFill>
        </w:rPr>
        <w:t>12</w:t>
      </w:r>
      <w:r>
        <w:rPr>
          <w:rFonts w:hint="eastAsia" w:ascii="仿宋" w:hAnsi="仿宋" w:eastAsia="仿宋" w:cs="宋体"/>
          <w:color w:val="000000" w:themeColor="text1"/>
          <w:sz w:val="32"/>
          <w:szCs w:val="32"/>
          <w:u w:val="none"/>
          <w:lang w:eastAsia="zh-CN"/>
          <w14:textFill>
            <w14:solidFill>
              <w14:schemeClr w14:val="tx1"/>
            </w14:solidFill>
          </w14:textFill>
        </w:rPr>
        <w:t>月，分四个阶段进行。</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一</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动员部署阶段</w:t>
      </w:r>
      <w:r>
        <w:rPr>
          <w:rFonts w:ascii="楷体" w:hAnsi="楷体" w:eastAsia="楷体" w:cs="Times New Roman"/>
          <w:b w:val="0"/>
          <w:bCs w:val="0"/>
          <w:color w:val="000000" w:themeColor="text1"/>
          <w:sz w:val="32"/>
          <w:szCs w:val="32"/>
          <w:u w:val="none"/>
          <w:lang w:eastAsia="zh-CN"/>
          <w14:textFill>
            <w14:solidFill>
              <w14:schemeClr w14:val="tx1"/>
            </w14:solidFill>
          </w14:textFill>
        </w:rPr>
        <w:t>(20</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24年</w:t>
      </w:r>
      <w:r>
        <w:rPr>
          <w:rFonts w:hint="eastAsia" w:ascii="楷体" w:hAnsi="楷体" w:eastAsia="楷体" w:cs="Times New Roman"/>
          <w:b w:val="0"/>
          <w:bCs w:val="0"/>
          <w:color w:val="000000" w:themeColor="text1"/>
          <w:sz w:val="32"/>
          <w:szCs w:val="32"/>
          <w:u w:val="none"/>
          <w:lang w:val="en-US" w:eastAsia="zh-CN"/>
          <w14:textFill>
            <w14:solidFill>
              <w14:schemeClr w14:val="tx1"/>
            </w14:solidFill>
          </w14:textFill>
        </w:rPr>
        <w:t>2</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月至4月</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编制印发安全生产治本攻坚三年行动实施方案</w:t>
      </w:r>
      <w:r>
        <w:rPr>
          <w:rFonts w:ascii="仿宋" w:hAnsi="仿宋" w:eastAsia="仿宋"/>
          <w:color w:val="000000" w:themeColor="text1"/>
          <w:sz w:val="32"/>
          <w:szCs w:val="32"/>
          <w:u w:val="none"/>
          <w:lang w:eastAsia="zh-CN"/>
          <w14:textFill>
            <w14:solidFill>
              <w14:schemeClr w14:val="tx1"/>
            </w14:solidFill>
          </w14:textFill>
        </w:rPr>
        <w:t>(2024—2026</w:t>
      </w:r>
      <w:r>
        <w:rPr>
          <w:rFonts w:hint="eastAsia" w:ascii="仿宋" w:hAnsi="仿宋" w:eastAsia="仿宋" w:cs="宋体"/>
          <w:color w:val="000000" w:themeColor="text1"/>
          <w:sz w:val="32"/>
          <w:szCs w:val="32"/>
          <w:u w:val="none"/>
          <w:lang w:eastAsia="zh-CN"/>
          <w14:textFill>
            <w14:solidFill>
              <w14:schemeClr w14:val="tx1"/>
            </w14:solidFill>
          </w14:textFill>
        </w:rPr>
        <w:t>年</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部署启动全面开展治本攻坚三年行动。各</w:t>
      </w:r>
      <w:r>
        <w:rPr>
          <w:rFonts w:hint="eastAsia" w:ascii="仿宋" w:hAnsi="仿宋" w:eastAsia="仿宋" w:cs="宋体"/>
          <w:color w:val="000000" w:themeColor="text1"/>
          <w:sz w:val="32"/>
          <w:szCs w:val="32"/>
          <w:u w:val="none"/>
          <w14:textFill>
            <w14:solidFill>
              <w14:schemeClr w14:val="tx1"/>
            </w14:solidFill>
          </w14:textFill>
        </w:rPr>
        <w:t>县区、开发园区</w:t>
      </w:r>
      <w:r>
        <w:rPr>
          <w:rFonts w:hint="eastAsia" w:ascii="仿宋" w:hAnsi="仿宋" w:eastAsia="仿宋" w:cs="宋体"/>
          <w:color w:val="000000" w:themeColor="text1"/>
          <w:sz w:val="32"/>
          <w:szCs w:val="32"/>
          <w:u w:val="none"/>
          <w:lang w:eastAsia="zh-CN"/>
          <w14:textFill>
            <w14:solidFill>
              <w14:schemeClr w14:val="tx1"/>
            </w14:solidFill>
          </w14:textFill>
        </w:rPr>
        <w:t>、各有关部门制定子实施方案，对开展治本攻坚三年行动作出具体安排，</w:t>
      </w:r>
      <w:r>
        <w:rPr>
          <w:rFonts w:ascii="仿宋" w:hAnsi="仿宋" w:eastAsia="仿宋"/>
          <w:color w:val="000000" w:themeColor="text1"/>
          <w:sz w:val="32"/>
          <w:szCs w:val="32"/>
          <w:u w:val="none"/>
          <w:lang w:eastAsia="zh-CN"/>
          <w14:textFill>
            <w14:solidFill>
              <w14:schemeClr w14:val="tx1"/>
            </w14:solidFill>
          </w14:textFill>
        </w:rPr>
        <w:t>2</w:t>
      </w:r>
      <w:r>
        <w:rPr>
          <w:rFonts w:hint="eastAsia" w:ascii="仿宋" w:hAnsi="仿宋" w:eastAsia="仿宋" w:cs="宋体"/>
          <w:color w:val="000000" w:themeColor="text1"/>
          <w:sz w:val="32"/>
          <w:szCs w:val="32"/>
          <w:u w:val="none"/>
          <w:lang w:eastAsia="zh-CN"/>
          <w14:textFill>
            <w14:solidFill>
              <w14:schemeClr w14:val="tx1"/>
            </w14:solidFill>
          </w14:textFill>
        </w:rPr>
        <w:t>月</w:t>
      </w:r>
      <w:r>
        <w:rPr>
          <w:rFonts w:ascii="仿宋" w:hAnsi="仿宋" w:eastAsia="仿宋"/>
          <w:color w:val="000000" w:themeColor="text1"/>
          <w:sz w:val="32"/>
          <w:szCs w:val="32"/>
          <w:u w:val="none"/>
          <w14:textFill>
            <w14:solidFill>
              <w14:schemeClr w14:val="tx1"/>
            </w14:solidFill>
          </w14:textFill>
        </w:rPr>
        <w:t>2</w:t>
      </w:r>
      <w:r>
        <w:rPr>
          <w:rFonts w:hint="eastAsia" w:ascii="仿宋" w:hAnsi="仿宋" w:eastAsia="仿宋"/>
          <w:color w:val="000000" w:themeColor="text1"/>
          <w:sz w:val="32"/>
          <w:szCs w:val="32"/>
          <w:u w:val="none"/>
          <w:lang w:val="en-US" w:eastAsia="zh-CN"/>
          <w14:textFill>
            <w14:solidFill>
              <w14:schemeClr w14:val="tx1"/>
            </w14:solidFill>
          </w14:textFill>
        </w:rPr>
        <w:t>8</w:t>
      </w:r>
      <w:r>
        <w:rPr>
          <w:rFonts w:hint="eastAsia" w:ascii="仿宋" w:hAnsi="仿宋" w:eastAsia="仿宋" w:cs="宋体"/>
          <w:color w:val="000000" w:themeColor="text1"/>
          <w:sz w:val="32"/>
          <w:szCs w:val="32"/>
          <w:u w:val="none"/>
          <w:lang w:eastAsia="zh-CN"/>
          <w14:textFill>
            <w14:solidFill>
              <w14:schemeClr w14:val="tx1"/>
            </w14:solidFill>
          </w14:textFill>
        </w:rPr>
        <w:t>日前将各自方案报</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安委会办公室。</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二</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专项治理阶段</w:t>
      </w:r>
      <w:r>
        <w:rPr>
          <w:rFonts w:ascii="楷体" w:hAnsi="楷体" w:eastAsia="楷体" w:cs="Times New Roman"/>
          <w:b w:val="0"/>
          <w:bCs w:val="0"/>
          <w:color w:val="000000" w:themeColor="text1"/>
          <w:sz w:val="32"/>
          <w:szCs w:val="32"/>
          <w:u w:val="none"/>
          <w:lang w:eastAsia="zh-CN"/>
          <w14:textFill>
            <w14:solidFill>
              <w14:schemeClr w14:val="tx1"/>
            </w14:solidFill>
          </w14:textFill>
        </w:rPr>
        <w:t>(2024</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年</w:t>
      </w:r>
      <w:r>
        <w:rPr>
          <w:rFonts w:ascii="楷体" w:hAnsi="楷体" w:eastAsia="楷体" w:cs="Times New Roman"/>
          <w:b w:val="0"/>
          <w:bCs w:val="0"/>
          <w:color w:val="000000" w:themeColor="text1"/>
          <w:sz w:val="32"/>
          <w:szCs w:val="32"/>
          <w:u w:val="none"/>
          <w:lang w:eastAsia="zh-CN"/>
          <w14:textFill>
            <w14:solidFill>
              <w14:schemeClr w14:val="tx1"/>
            </w14:solidFill>
          </w14:textFill>
        </w:rPr>
        <w:t>5</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月至</w:t>
      </w:r>
      <w:r>
        <w:rPr>
          <w:rFonts w:ascii="楷体" w:hAnsi="楷体" w:eastAsia="楷体" w:cs="Times New Roman"/>
          <w:b w:val="0"/>
          <w:bCs w:val="0"/>
          <w:color w:val="000000" w:themeColor="text1"/>
          <w:sz w:val="32"/>
          <w:szCs w:val="32"/>
          <w:u w:val="none"/>
          <w:lang w:eastAsia="zh-CN"/>
          <w14:textFill>
            <w14:solidFill>
              <w14:schemeClr w14:val="tx1"/>
            </w14:solidFill>
          </w14:textFill>
        </w:rPr>
        <w:t>2025</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年</w:t>
      </w:r>
      <w:r>
        <w:rPr>
          <w:rFonts w:ascii="楷体" w:hAnsi="楷体" w:eastAsia="楷体" w:cs="Times New Roman"/>
          <w:b w:val="0"/>
          <w:bCs w:val="0"/>
          <w:color w:val="000000" w:themeColor="text1"/>
          <w:sz w:val="32"/>
          <w:szCs w:val="32"/>
          <w:u w:val="none"/>
          <w:lang w:eastAsia="zh-CN"/>
          <w14:textFill>
            <w14:solidFill>
              <w14:schemeClr w14:val="tx1"/>
            </w14:solidFill>
          </w14:textFill>
        </w:rPr>
        <w:t>12</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各</w:t>
      </w:r>
      <w:r>
        <w:rPr>
          <w:rFonts w:hint="eastAsia" w:ascii="仿宋" w:hAnsi="仿宋" w:eastAsia="仿宋" w:cs="宋体"/>
          <w:color w:val="000000" w:themeColor="text1"/>
          <w:sz w:val="32"/>
          <w:szCs w:val="32"/>
          <w:u w:val="none"/>
          <w14:textFill>
            <w14:solidFill>
              <w14:schemeClr w14:val="tx1"/>
            </w14:solidFill>
          </w14:textFill>
        </w:rPr>
        <w:t>县区、开发园区</w:t>
      </w:r>
      <w:r>
        <w:rPr>
          <w:rFonts w:hint="eastAsia" w:ascii="仿宋" w:hAnsi="仿宋" w:eastAsia="仿宋" w:cs="宋体"/>
          <w:color w:val="000000" w:themeColor="text1"/>
          <w:sz w:val="32"/>
          <w:szCs w:val="32"/>
          <w:u w:val="none"/>
          <w:lang w:eastAsia="zh-CN"/>
          <w14:textFill>
            <w14:solidFill>
              <w14:schemeClr w14:val="tx1"/>
            </w14:solidFill>
          </w14:textFill>
        </w:rPr>
        <w:t>、各有关部门按照实施方案，有序推进</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olor w:val="000000" w:themeColor="text1"/>
          <w:sz w:val="32"/>
          <w:szCs w:val="32"/>
          <w:u w:val="none"/>
          <w:lang w:eastAsia="zh-CN"/>
          <w14:textFill>
            <w14:solidFill>
              <w14:schemeClr w14:val="tx1"/>
            </w14:solidFill>
          </w14:textFill>
        </w:rPr>
        <w:t>十</w:t>
      </w:r>
      <w:r>
        <w:rPr>
          <w:rFonts w:hint="eastAsia" w:ascii="仿宋" w:hAnsi="仿宋" w:eastAsia="仿宋" w:cs="宋体"/>
          <w:color w:val="000000" w:themeColor="text1"/>
          <w:sz w:val="32"/>
          <w:szCs w:val="32"/>
          <w:u w:val="none"/>
          <w:lang w:eastAsia="zh-CN"/>
          <w14:textFill>
            <w14:solidFill>
              <w14:schemeClr w14:val="tx1"/>
            </w14:solidFill>
          </w14:textFill>
        </w:rPr>
        <w:t>大行动</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对本地区、本行业领域和重点单位场所、关键环节安全风险隐患进行全面深入细致排查治理，建立完善重大事故隐患数据库，制定时间表路线图，明确整改责任单位和整改要求，坚持边查边改、立查立改，加快推进实施，整治工作取得初步成效。</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三</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巩固提升阶段</w:t>
      </w:r>
      <w:r>
        <w:rPr>
          <w:rFonts w:ascii="楷体" w:hAnsi="楷体" w:eastAsia="楷体" w:cs="Times New Roman"/>
          <w:b w:val="0"/>
          <w:bCs w:val="0"/>
          <w:color w:val="000000" w:themeColor="text1"/>
          <w:sz w:val="32"/>
          <w:szCs w:val="32"/>
          <w:u w:val="none"/>
          <w:lang w:eastAsia="zh-CN"/>
          <w14:textFill>
            <w14:solidFill>
              <w14:schemeClr w14:val="tx1"/>
            </w14:solidFill>
          </w14:textFill>
        </w:rPr>
        <w:t>(2026</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年</w:t>
      </w:r>
      <w:r>
        <w:rPr>
          <w:rFonts w:ascii="楷体" w:hAnsi="楷体" w:eastAsia="楷体" w:cs="Times New Roman"/>
          <w:b w:val="0"/>
          <w:bCs w:val="0"/>
          <w:color w:val="000000" w:themeColor="text1"/>
          <w:sz w:val="32"/>
          <w:szCs w:val="32"/>
          <w:u w:val="none"/>
          <w:lang w:eastAsia="zh-CN"/>
          <w14:textFill>
            <w14:solidFill>
              <w14:schemeClr w14:val="tx1"/>
            </w14:solidFill>
          </w14:textFill>
        </w:rPr>
        <w:t>1</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月至</w:t>
      </w:r>
      <w:r>
        <w:rPr>
          <w:rFonts w:ascii="楷体" w:hAnsi="楷体" w:eastAsia="楷体" w:cs="Times New Roman"/>
          <w:b w:val="0"/>
          <w:bCs w:val="0"/>
          <w:color w:val="000000" w:themeColor="text1"/>
          <w:sz w:val="32"/>
          <w:szCs w:val="32"/>
          <w:u w:val="none"/>
          <w:lang w:eastAsia="zh-CN"/>
          <w14:textFill>
            <w14:solidFill>
              <w14:schemeClr w14:val="tx1"/>
            </w14:solidFill>
          </w14:textFill>
        </w:rPr>
        <w:t>2026</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年</w:t>
      </w:r>
      <w:r>
        <w:rPr>
          <w:rFonts w:ascii="楷体" w:hAnsi="楷体" w:eastAsia="楷体" w:cs="Times New Roman"/>
          <w:b w:val="0"/>
          <w:bCs w:val="0"/>
          <w:color w:val="000000" w:themeColor="text1"/>
          <w:sz w:val="32"/>
          <w:szCs w:val="32"/>
          <w:u w:val="none"/>
          <w:lang w:eastAsia="zh-CN"/>
          <w14:textFill>
            <w14:solidFill>
              <w14:schemeClr w14:val="tx1"/>
            </w14:solidFill>
          </w14:textFill>
        </w:rPr>
        <w:t>9</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动态更新重大事故隐患数据库，针对重点难点问题，通过现场推进会、推广有关地方和标杆企业的经验等措施，加大专项整治攻坚力度，落实和完善治理措施，推动建立健全公共安全隐患排查和安全预防控制体系，整治工作取得明显成效。</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四</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总结评估阶段</w:t>
      </w:r>
      <w:r>
        <w:rPr>
          <w:rFonts w:ascii="楷体" w:hAnsi="楷体" w:eastAsia="楷体" w:cs="Times New Roman"/>
          <w:b w:val="0"/>
          <w:bCs w:val="0"/>
          <w:color w:val="000000" w:themeColor="text1"/>
          <w:sz w:val="32"/>
          <w:szCs w:val="32"/>
          <w:u w:val="none"/>
          <w:lang w:eastAsia="zh-CN"/>
          <w14:textFill>
            <w14:solidFill>
              <w14:schemeClr w14:val="tx1"/>
            </w14:solidFill>
          </w14:textFill>
        </w:rPr>
        <w:t>(2026</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年</w:t>
      </w:r>
      <w:r>
        <w:rPr>
          <w:rFonts w:ascii="楷体" w:hAnsi="楷体" w:eastAsia="楷体" w:cs="Times New Roman"/>
          <w:b w:val="0"/>
          <w:bCs w:val="0"/>
          <w:color w:val="000000" w:themeColor="text1"/>
          <w:sz w:val="32"/>
          <w:szCs w:val="32"/>
          <w:u w:val="none"/>
          <w:lang w:eastAsia="zh-CN"/>
          <w14:textFill>
            <w14:solidFill>
              <w14:schemeClr w14:val="tx1"/>
            </w14:solidFill>
          </w14:textFill>
        </w:rPr>
        <w:t>10</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月至</w:t>
      </w:r>
      <w:r>
        <w:rPr>
          <w:rFonts w:ascii="楷体" w:hAnsi="楷体" w:eastAsia="楷体" w:cs="Times New Roman"/>
          <w:b w:val="0"/>
          <w:bCs w:val="0"/>
          <w:color w:val="000000" w:themeColor="text1"/>
          <w:sz w:val="32"/>
          <w:szCs w:val="32"/>
          <w:u w:val="none"/>
          <w:lang w:eastAsia="zh-CN"/>
          <w14:textFill>
            <w14:solidFill>
              <w14:schemeClr w14:val="tx1"/>
            </w14:solidFill>
          </w14:textFill>
        </w:rPr>
        <w:t>12</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月</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深入分析安全生产共性问题和突出隐患，深挖背后的深层次矛盾和原因，梳理出在政策措施、制度机制层面需要建立健全、补充完善的具体制度，逐项推动落实。结合各地经验做法，形成一批制度成果，在全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推广。</w:t>
      </w:r>
    </w:p>
    <w:p>
      <w:pPr>
        <w:keepNext w:val="0"/>
        <w:keepLines w:val="0"/>
        <w:pageBreakBefore w:val="0"/>
        <w:wordWrap/>
        <w:overflowPunct/>
        <w:topLinePunct w:val="0"/>
        <w:bidi w:val="0"/>
        <w:spacing w:line="560" w:lineRule="exact"/>
        <w:ind w:firstLine="640" w:firstLineChars="200"/>
        <w:jc w:val="both"/>
        <w:rPr>
          <w:rFonts w:ascii="黑体" w:hAnsi="黑体" w:eastAsia="黑体" w:cs="宋体"/>
          <w:color w:val="000000" w:themeColor="text1"/>
          <w:sz w:val="32"/>
          <w:szCs w:val="32"/>
          <w:u w:val="none"/>
          <w:lang w:eastAsia="zh-CN"/>
          <w14:textFill>
            <w14:solidFill>
              <w14:schemeClr w14:val="tx1"/>
            </w14:solidFill>
          </w14:textFill>
        </w:rPr>
      </w:pPr>
      <w:r>
        <w:rPr>
          <w:rFonts w:hint="eastAsia" w:ascii="黑体" w:hAnsi="黑体" w:eastAsia="黑体" w:cs="宋体"/>
          <w:color w:val="000000" w:themeColor="text1"/>
          <w:sz w:val="32"/>
          <w:szCs w:val="32"/>
          <w:u w:val="none"/>
          <w:lang w:eastAsia="zh-CN"/>
          <w14:textFill>
            <w14:solidFill>
              <w14:schemeClr w14:val="tx1"/>
            </w14:solidFill>
          </w14:textFill>
        </w:rPr>
        <w:t>四、保障措施</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宋体"/>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一</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加强组织领导。</w:t>
      </w:r>
      <w:r>
        <w:rPr>
          <w:rFonts w:hint="eastAsia" w:ascii="仿宋" w:hAnsi="仿宋" w:eastAsia="仿宋" w:cs="宋体"/>
          <w:color w:val="000000" w:themeColor="text1"/>
          <w:sz w:val="32"/>
          <w:szCs w:val="32"/>
          <w:u w:val="none"/>
          <w:lang w:eastAsia="zh-CN"/>
          <w14:textFill>
            <w14:solidFill>
              <w14:schemeClr w14:val="tx1"/>
            </w14:solidFill>
          </w14:textFill>
        </w:rPr>
        <w:t>各县</w:t>
      </w:r>
      <w:r>
        <w:rPr>
          <w:rFonts w:hint="eastAsia" w:ascii="仿宋" w:hAnsi="仿宋" w:eastAsia="仿宋" w:cs="宋体"/>
          <w:color w:val="000000" w:themeColor="text1"/>
          <w:sz w:val="32"/>
          <w:szCs w:val="32"/>
          <w:u w:val="none"/>
          <w14:textFill>
            <w14:solidFill>
              <w14:schemeClr w14:val="tx1"/>
            </w14:solidFill>
          </w14:textFill>
        </w:rPr>
        <w:t>区、开发园区</w:t>
      </w:r>
      <w:r>
        <w:rPr>
          <w:rFonts w:hint="eastAsia" w:ascii="仿宋" w:hAnsi="仿宋" w:eastAsia="仿宋" w:cs="宋体"/>
          <w:color w:val="000000" w:themeColor="text1"/>
          <w:sz w:val="32"/>
          <w:szCs w:val="32"/>
          <w:u w:val="none"/>
          <w:lang w:eastAsia="zh-CN"/>
          <w14:textFill>
            <w14:solidFill>
              <w14:schemeClr w14:val="tx1"/>
            </w14:solidFill>
          </w14:textFill>
        </w:rPr>
        <w:t>安委会、</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安委会各有关成员单位、</w:t>
      </w:r>
      <w:r>
        <w:rPr>
          <w:rFonts w:hint="eastAsia" w:ascii="Times New Roman" w:hAnsi="Times New Roman" w:eastAsia="方正仿宋_GBK" w:cs="方正仿宋_GBK"/>
          <w:color w:val="000000" w:themeColor="text1"/>
          <w:sz w:val="32"/>
          <w:szCs w:val="32"/>
          <w:highlight w:val="none"/>
          <w:u w:val="none"/>
          <w:lang w:val="en-US" w:eastAsia="zh-CN"/>
          <w14:textFill>
            <w14:solidFill>
              <w14:schemeClr w14:val="tx1"/>
            </w14:solidFill>
          </w14:textFill>
        </w:rPr>
        <w:t>中央</w:t>
      </w:r>
      <w:r>
        <w:rPr>
          <w:rFonts w:hint="eastAsia" w:eastAsia="方正仿宋_GBK" w:cs="方正仿宋_GBK"/>
          <w:color w:val="000000" w:themeColor="text1"/>
          <w:sz w:val="32"/>
          <w:szCs w:val="32"/>
          <w:highlight w:val="none"/>
          <w:u w:val="none"/>
          <w:lang w:val="en-US" w:eastAsia="zh-CN"/>
          <w14:textFill>
            <w14:solidFill>
              <w14:schemeClr w14:val="tx1"/>
            </w14:solidFill>
          </w14:textFill>
        </w:rPr>
        <w:t>、</w:t>
      </w:r>
      <w:r>
        <w:rPr>
          <w:rFonts w:hint="eastAsia" w:ascii="Times New Roman" w:hAnsi="Times New Roman" w:eastAsia="方正仿宋_GBK" w:cs="方正仿宋_GBK"/>
          <w:color w:val="000000" w:themeColor="text1"/>
          <w:sz w:val="32"/>
          <w:szCs w:val="32"/>
          <w:highlight w:val="none"/>
          <w:u w:val="none"/>
          <w:lang w:val="en-US" w:eastAsia="zh-CN"/>
          <w14:textFill>
            <w14:solidFill>
              <w14:schemeClr w14:val="tx1"/>
            </w14:solidFill>
          </w14:textFill>
        </w:rPr>
        <w:t>省</w:t>
      </w:r>
      <w:r>
        <w:rPr>
          <w:rFonts w:hint="eastAsia" w:eastAsia="方正仿宋_GBK" w:cs="方正仿宋_GBK"/>
          <w:color w:val="000000" w:themeColor="text1"/>
          <w:sz w:val="32"/>
          <w:szCs w:val="32"/>
          <w:highlight w:val="none"/>
          <w:u w:val="none"/>
          <w:lang w:val="en-US" w:eastAsia="zh-CN"/>
          <w14:textFill>
            <w14:solidFill>
              <w14:schemeClr w14:val="tx1"/>
            </w14:solidFill>
          </w14:textFill>
        </w:rPr>
        <w:t>驻亳单位和</w:t>
      </w:r>
      <w:r>
        <w:rPr>
          <w:rFonts w:hint="eastAsia" w:ascii="仿宋" w:hAnsi="仿宋" w:eastAsia="仿宋" w:cs="宋体"/>
          <w:color w:val="000000" w:themeColor="text1"/>
          <w:sz w:val="32"/>
          <w:szCs w:val="32"/>
          <w:u w:val="none"/>
          <w14:textFill>
            <w14:solidFill>
              <w14:schemeClr w14:val="tx1"/>
            </w14:solidFill>
          </w14:textFill>
        </w:rPr>
        <w:t>市属</w:t>
      </w:r>
      <w:r>
        <w:rPr>
          <w:rFonts w:hint="eastAsia" w:ascii="仿宋" w:hAnsi="仿宋" w:eastAsia="仿宋" w:cs="宋体"/>
          <w:color w:val="000000" w:themeColor="text1"/>
          <w:sz w:val="32"/>
          <w:szCs w:val="32"/>
          <w:u w:val="none"/>
          <w:lang w:eastAsia="zh-CN"/>
          <w14:textFill>
            <w14:solidFill>
              <w14:schemeClr w14:val="tx1"/>
            </w14:solidFill>
          </w14:textFill>
        </w:rPr>
        <w:t>企业要召开专题会议进行动员部署，建立完善信息汇总、动态研判、晾晒通报、督导检查等机制，切实加大督促推动力度。各</w:t>
      </w:r>
      <w:r>
        <w:rPr>
          <w:rFonts w:hint="eastAsia" w:ascii="仿宋" w:hAnsi="仿宋" w:eastAsia="仿宋" w:cs="宋体"/>
          <w:color w:val="000000" w:themeColor="text1"/>
          <w:sz w:val="32"/>
          <w:szCs w:val="32"/>
          <w:u w:val="none"/>
          <w14:textFill>
            <w14:solidFill>
              <w14:schemeClr w14:val="tx1"/>
            </w14:solidFill>
          </w14:textFill>
        </w:rPr>
        <w:t>县区</w:t>
      </w:r>
      <w:r>
        <w:rPr>
          <w:rFonts w:hint="eastAsia" w:ascii="仿宋" w:hAnsi="仿宋" w:eastAsia="仿宋" w:cs="宋体"/>
          <w:color w:val="000000" w:themeColor="text1"/>
          <w:sz w:val="32"/>
          <w:szCs w:val="32"/>
          <w:u w:val="none"/>
          <w:lang w:eastAsia="zh-CN"/>
          <w14:textFill>
            <w14:solidFill>
              <w14:schemeClr w14:val="tx1"/>
            </w14:solidFill>
          </w14:textFill>
        </w:rPr>
        <w:t>级安委会主要负责同志要每季度至少组织研究一次安全生产治本攻坚有关工作，听取进展情况汇报，协调解决跨地区、跨部门安全生产突出问题；分管负责同志每月要调度一次安全生产治本攻坚有关工作，及时解决工作中难点、热点和堵点问题；有关成员单位要加强本行业领域安全生产治本攻坚工作的跟踪分析，及时研究新情况、解决新问题，每月向分管负责同志汇报安全生产治本攻坚情况并提供工作建议。</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各有关成员单位要加强督促指导，推动落实属地安全责任。全面规范并建立地方党政领导干部安全生产职责清单和年度任务清单，建立完善“履职档案”，明确治本攻坚责任分工和工作目标，按程序报市安委会办公室备案。将安全生产、消防安全教育培训列入党政领导干部的必修课程，突出重大事故隐患排查整治方面的内容，加强经常性教育培训。</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安委会办公室将成立工作专班，负责全市安全生产治本攻坚“十大行动”总协调，加大统筹协调和督促推动力度，各</w:t>
      </w:r>
      <w:r>
        <w:rPr>
          <w:rFonts w:hint="eastAsia" w:ascii="仿宋" w:hAnsi="仿宋" w:eastAsia="仿宋" w:cs="宋体"/>
          <w:color w:val="000000" w:themeColor="text1"/>
          <w:sz w:val="32"/>
          <w:szCs w:val="32"/>
          <w:u w:val="none"/>
          <w14:textFill>
            <w14:solidFill>
              <w14:schemeClr w14:val="tx1"/>
            </w14:solidFill>
          </w14:textFill>
        </w:rPr>
        <w:t>县区</w:t>
      </w:r>
      <w:r>
        <w:rPr>
          <w:rFonts w:hint="eastAsia" w:ascii="仿宋" w:hAnsi="仿宋" w:eastAsia="仿宋" w:cs="宋体"/>
          <w:color w:val="000000" w:themeColor="text1"/>
          <w:sz w:val="32"/>
          <w:szCs w:val="32"/>
          <w:u w:val="none"/>
          <w:lang w:eastAsia="zh-CN"/>
          <w14:textFill>
            <w14:solidFill>
              <w14:schemeClr w14:val="tx1"/>
            </w14:solidFill>
          </w14:textFill>
        </w:rPr>
        <w:t>也要成立工作专班，协调推动本地区治本攻坚工作。</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二</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加强责任落实。</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安委会统筹做好全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安全生产治本攻坚三年行动的组织推动。各</w:t>
      </w:r>
      <w:r>
        <w:rPr>
          <w:rFonts w:hint="eastAsia" w:ascii="仿宋" w:hAnsi="仿宋" w:eastAsia="仿宋" w:cs="宋体"/>
          <w:color w:val="000000" w:themeColor="text1"/>
          <w:sz w:val="32"/>
          <w:szCs w:val="32"/>
          <w:u w:val="none"/>
          <w14:textFill>
            <w14:solidFill>
              <w14:schemeClr w14:val="tx1"/>
            </w14:solidFill>
          </w14:textFill>
        </w:rPr>
        <w:t>县区、开发园区</w:t>
      </w:r>
      <w:r>
        <w:rPr>
          <w:rFonts w:hint="eastAsia" w:ascii="仿宋" w:hAnsi="仿宋" w:eastAsia="仿宋" w:cs="宋体"/>
          <w:color w:val="000000" w:themeColor="text1"/>
          <w:sz w:val="32"/>
          <w:szCs w:val="32"/>
          <w:u w:val="none"/>
          <w:lang w:eastAsia="zh-CN"/>
          <w14:textFill>
            <w14:solidFill>
              <w14:schemeClr w14:val="tx1"/>
            </w14:solidFill>
          </w14:textFill>
        </w:rPr>
        <w:t>安委会负责制定并实施辖区的安全生产治本攻坚三年行动方案。</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安委会有关成员单位按照</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三管三必须</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要求，依据</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三管三必须</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责任清单</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围绕各自行业领域的重大事故隐患判定标准或重点检查事项，分别制定下发本部门单位的治本攻坚三年行动子方案。其中：</w:t>
      </w:r>
      <w:r>
        <w:rPr>
          <w:rFonts w:hint="eastAsia" w:ascii="仿宋" w:hAnsi="仿宋" w:eastAsia="仿宋" w:cs="宋体"/>
          <w:color w:val="000000" w:themeColor="text1"/>
          <w:sz w:val="32"/>
          <w:szCs w:val="32"/>
          <w:u w:val="none"/>
          <w14:textFill>
            <w14:solidFill>
              <w14:schemeClr w14:val="tx1"/>
            </w14:solidFill>
          </w14:textFill>
        </w:rPr>
        <w:t>市教育局</w:t>
      </w:r>
      <w:r>
        <w:rPr>
          <w:rFonts w:hint="eastAsia" w:ascii="仿宋" w:hAnsi="仿宋" w:eastAsia="仿宋" w:cs="宋体"/>
          <w:color w:val="000000" w:themeColor="text1"/>
          <w:sz w:val="32"/>
          <w:szCs w:val="32"/>
          <w:u w:val="none"/>
          <w:lang w:eastAsia="zh-CN"/>
          <w14:textFill>
            <w14:solidFill>
              <w14:schemeClr w14:val="tx1"/>
            </w14:solidFill>
          </w14:textFill>
        </w:rPr>
        <w:t>牵头负责校园安全，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经济和信息化</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牵头负责工业企业安全，</w:t>
      </w:r>
      <w:r>
        <w:rPr>
          <w:rFonts w:hint="eastAsia" w:ascii="仿宋" w:hAnsi="仿宋" w:eastAsia="仿宋" w:cs="宋体"/>
          <w:color w:val="000000" w:themeColor="text1"/>
          <w:sz w:val="32"/>
          <w:szCs w:val="32"/>
          <w:u w:val="none"/>
          <w14:textFill>
            <w14:solidFill>
              <w14:schemeClr w14:val="tx1"/>
            </w14:solidFill>
          </w14:textFill>
        </w:rPr>
        <w:t>市民政局</w:t>
      </w:r>
      <w:r>
        <w:rPr>
          <w:rFonts w:hint="eastAsia" w:ascii="仿宋" w:hAnsi="仿宋" w:eastAsia="仿宋" w:cs="宋体"/>
          <w:color w:val="000000" w:themeColor="text1"/>
          <w:sz w:val="32"/>
          <w:szCs w:val="32"/>
          <w:u w:val="none"/>
          <w:lang w:eastAsia="zh-CN"/>
          <w14:textFill>
            <w14:solidFill>
              <w14:schemeClr w14:val="tx1"/>
            </w14:solidFill>
          </w14:textFill>
        </w:rPr>
        <w:t>牵头负责社会福利机构安全，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生态环境</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w:t>
      </w:r>
      <w:r>
        <w:rPr>
          <w:rFonts w:hint="eastAsia" w:ascii="仿宋" w:hAnsi="仿宋" w:eastAsia="仿宋" w:cs="宋体"/>
          <w:strike w:val="0"/>
          <w:dstrike w:val="0"/>
          <w:color w:val="000000" w:themeColor="text1"/>
          <w:sz w:val="32"/>
          <w:szCs w:val="32"/>
          <w:u w:val="none"/>
          <w:lang w:eastAsia="zh-CN"/>
          <w14:textFill>
            <w14:solidFill>
              <w14:schemeClr w14:val="tx1"/>
            </w14:solidFill>
          </w14:textFill>
        </w:rPr>
        <w:t>核辐射、</w:t>
      </w:r>
      <w:r>
        <w:rPr>
          <w:rFonts w:hint="eastAsia" w:ascii="仿宋" w:hAnsi="仿宋" w:eastAsia="仿宋" w:cs="宋体"/>
          <w:color w:val="000000" w:themeColor="text1"/>
          <w:sz w:val="32"/>
          <w:szCs w:val="32"/>
          <w:u w:val="none"/>
          <w:lang w:eastAsia="zh-CN"/>
          <w14:textFill>
            <w14:solidFill>
              <w14:schemeClr w14:val="tx1"/>
            </w14:solidFill>
          </w14:textFill>
        </w:rPr>
        <w:t>废弃危险化学品、环保设施安全，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住房城乡建设</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牵头负责建筑施工、自建房、群租房、大跨度建</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构</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筑物安全，市城市管理局牵头负责城镇燃气、市政工程、循环产业园、户外广告、园林绿化等安全，</w:t>
      </w:r>
      <w:r>
        <w:rPr>
          <w:rFonts w:hint="eastAsia" w:ascii="仿宋" w:hAnsi="仿宋" w:eastAsia="仿宋" w:cs="宋体"/>
          <w:color w:val="000000" w:themeColor="text1"/>
          <w:sz w:val="32"/>
          <w:szCs w:val="32"/>
          <w:u w:val="none"/>
          <w14:textFill>
            <w14:solidFill>
              <w14:schemeClr w14:val="tx1"/>
            </w14:solidFill>
          </w14:textFill>
        </w:rPr>
        <w:t>市公安局</w:t>
      </w:r>
      <w:r>
        <w:rPr>
          <w:rFonts w:hint="eastAsia" w:ascii="仿宋" w:hAnsi="仿宋" w:eastAsia="仿宋" w:cs="宋体"/>
          <w:color w:val="000000" w:themeColor="text1"/>
          <w:sz w:val="32"/>
          <w:szCs w:val="32"/>
          <w:u w:val="none"/>
          <w:lang w:eastAsia="zh-CN"/>
          <w14:textFill>
            <w14:solidFill>
              <w14:schemeClr w14:val="tx1"/>
            </w14:solidFill>
          </w14:textFill>
        </w:rPr>
        <w:t>牵头负责道路交通安全，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交通运输</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牵头负责道路运输、水上交通运输、公路工程安全，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农业农村</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牵头负责农机、畜牧养殖、高标准农田建设和渔业船舶等安全，</w:t>
      </w:r>
      <w:r>
        <w:rPr>
          <w:rFonts w:hint="eastAsia" w:ascii="仿宋" w:hAnsi="仿宋" w:eastAsia="仿宋" w:cs="宋体"/>
          <w:color w:val="000000" w:themeColor="text1"/>
          <w:sz w:val="32"/>
          <w:szCs w:val="32"/>
          <w:u w:val="none"/>
          <w14:textFill>
            <w14:solidFill>
              <w14:schemeClr w14:val="tx1"/>
            </w14:solidFill>
          </w14:textFill>
        </w:rPr>
        <w:t>市水</w:t>
      </w:r>
      <w:r>
        <w:rPr>
          <w:rFonts w:hint="eastAsia" w:ascii="仿宋" w:hAnsi="仿宋" w:eastAsia="仿宋" w:cs="宋体"/>
          <w:color w:val="000000" w:themeColor="text1"/>
          <w:sz w:val="32"/>
          <w:szCs w:val="32"/>
          <w:u w:val="none"/>
          <w:lang w:eastAsia="zh-CN"/>
          <w14:textFill>
            <w14:solidFill>
              <w14:schemeClr w14:val="tx1"/>
            </w14:solidFill>
          </w14:textFill>
        </w:rPr>
        <w:t>利</w:t>
      </w:r>
      <w:r>
        <w:rPr>
          <w:rFonts w:hint="eastAsia" w:ascii="仿宋" w:hAnsi="仿宋" w:eastAsia="仿宋" w:cs="宋体"/>
          <w:color w:val="000000" w:themeColor="text1"/>
          <w:sz w:val="32"/>
          <w:szCs w:val="32"/>
          <w:u w:val="none"/>
          <w14:textFill>
            <w14:solidFill>
              <w14:schemeClr w14:val="tx1"/>
            </w14:solidFill>
          </w14:textFill>
        </w:rPr>
        <w:t>局牵头</w:t>
      </w:r>
      <w:r>
        <w:rPr>
          <w:rFonts w:hint="eastAsia" w:ascii="仿宋" w:hAnsi="仿宋" w:eastAsia="仿宋" w:cs="宋体"/>
          <w:color w:val="000000" w:themeColor="text1"/>
          <w:sz w:val="32"/>
          <w:szCs w:val="32"/>
          <w:u w:val="none"/>
          <w:lang w:eastAsia="zh-CN"/>
          <w14:textFill>
            <w14:solidFill>
              <w14:schemeClr w14:val="tx1"/>
            </w14:solidFill>
          </w14:textFill>
        </w:rPr>
        <w:t>负责水利行业安全，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文化旅游</w:t>
      </w:r>
      <w:r>
        <w:rPr>
          <w:rFonts w:hint="eastAsia" w:ascii="仿宋" w:hAnsi="仿宋" w:eastAsia="仿宋" w:cs="宋体"/>
          <w:color w:val="000000" w:themeColor="text1"/>
          <w:sz w:val="32"/>
          <w:szCs w:val="32"/>
          <w:u w:val="none"/>
          <w14:textFill>
            <w14:solidFill>
              <w14:schemeClr w14:val="tx1"/>
            </w14:solidFill>
          </w14:textFill>
        </w:rPr>
        <w:t>体育局</w:t>
      </w:r>
      <w:r>
        <w:rPr>
          <w:rFonts w:hint="eastAsia" w:ascii="仿宋" w:hAnsi="仿宋" w:eastAsia="仿宋" w:cs="宋体"/>
          <w:color w:val="000000" w:themeColor="text1"/>
          <w:sz w:val="32"/>
          <w:szCs w:val="32"/>
          <w:u w:val="none"/>
          <w:lang w:eastAsia="zh-CN"/>
          <w14:textFill>
            <w14:solidFill>
              <w14:schemeClr w14:val="tx1"/>
            </w14:solidFill>
          </w14:textFill>
        </w:rPr>
        <w:t>牵头负责文化旅游场所、文博单位</w:t>
      </w:r>
      <w:r>
        <w:rPr>
          <w:rFonts w:hint="eastAsia" w:ascii="仿宋" w:hAnsi="仿宋" w:eastAsia="仿宋" w:cs="宋体"/>
          <w:color w:val="000000" w:themeColor="text1"/>
          <w:sz w:val="32"/>
          <w:szCs w:val="32"/>
          <w:u w:val="none"/>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体育场馆和设施、经营性演出等安全，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卫生健康委牵头负责医疗卫生、托育机构安全，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应急管理</w:t>
      </w:r>
      <w:r>
        <w:rPr>
          <w:rFonts w:hint="eastAsia" w:ascii="仿宋" w:hAnsi="仿宋" w:eastAsia="仿宋" w:cs="宋体"/>
          <w:color w:val="000000" w:themeColor="text1"/>
          <w:sz w:val="32"/>
          <w:szCs w:val="32"/>
          <w:u w:val="none"/>
          <w14:textFill>
            <w14:solidFill>
              <w14:schemeClr w14:val="tx1"/>
            </w14:solidFill>
          </w14:textFill>
        </w:rPr>
        <w:t>局</w:t>
      </w:r>
      <w:r>
        <w:rPr>
          <w:rFonts w:hint="eastAsia" w:ascii="仿宋" w:hAnsi="仿宋" w:eastAsia="仿宋" w:cs="宋体"/>
          <w:color w:val="000000" w:themeColor="text1"/>
          <w:sz w:val="32"/>
          <w:szCs w:val="32"/>
          <w:u w:val="none"/>
          <w:lang w:eastAsia="zh-CN"/>
          <w14:textFill>
            <w14:solidFill>
              <w14:schemeClr w14:val="tx1"/>
            </w14:solidFill>
          </w14:textFill>
        </w:rPr>
        <w:t>牵头负责危化品、烟花爆竹、工贸企业安全，市市场监管局牵头负责特种设备、产品质量等安全，市商务局牵头负责商贸流通、商场超市、农贸市场安全，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自然资源和规划局牵头负责林业、地质灾害安全，</w:t>
      </w:r>
      <w:r>
        <w:rPr>
          <w:rFonts w:hint="eastAsia" w:ascii="仿宋" w:hAnsi="仿宋" w:eastAsia="仿宋" w:cs="宋体"/>
          <w:color w:val="000000" w:themeColor="text1"/>
          <w:sz w:val="32"/>
          <w:szCs w:val="32"/>
          <w:u w:val="none"/>
          <w14:textFill>
            <w14:solidFill>
              <w14:schemeClr w14:val="tx1"/>
            </w14:solidFill>
          </w14:textFill>
        </w:rPr>
        <w:t>市发</w:t>
      </w:r>
      <w:r>
        <w:rPr>
          <w:rFonts w:hint="eastAsia" w:ascii="仿宋" w:hAnsi="仿宋" w:eastAsia="仿宋" w:cs="宋体"/>
          <w:color w:val="000000" w:themeColor="text1"/>
          <w:sz w:val="32"/>
          <w:szCs w:val="32"/>
          <w:u w:val="none"/>
          <w:lang w:eastAsia="zh-CN"/>
          <w14:textFill>
            <w14:solidFill>
              <w14:schemeClr w14:val="tx1"/>
            </w14:solidFill>
          </w14:textFill>
        </w:rPr>
        <w:t>展</w:t>
      </w:r>
      <w:r>
        <w:rPr>
          <w:rFonts w:hint="eastAsia" w:ascii="仿宋" w:hAnsi="仿宋" w:eastAsia="仿宋" w:cs="宋体"/>
          <w:color w:val="000000" w:themeColor="text1"/>
          <w:sz w:val="32"/>
          <w:szCs w:val="32"/>
          <w:u w:val="none"/>
          <w14:textFill>
            <w14:solidFill>
              <w14:schemeClr w14:val="tx1"/>
            </w14:solidFill>
          </w14:textFill>
        </w:rPr>
        <w:t>改</w:t>
      </w:r>
      <w:r>
        <w:rPr>
          <w:rFonts w:hint="eastAsia" w:ascii="仿宋" w:hAnsi="仿宋" w:eastAsia="仿宋" w:cs="宋体"/>
          <w:color w:val="000000" w:themeColor="text1"/>
          <w:sz w:val="32"/>
          <w:szCs w:val="32"/>
          <w:u w:val="none"/>
          <w:lang w:eastAsia="zh-CN"/>
          <w14:textFill>
            <w14:solidFill>
              <w14:schemeClr w14:val="tx1"/>
            </w14:solidFill>
          </w14:textFill>
        </w:rPr>
        <w:t>革</w:t>
      </w:r>
      <w:r>
        <w:rPr>
          <w:rFonts w:hint="eastAsia" w:ascii="仿宋" w:hAnsi="仿宋" w:eastAsia="仿宋" w:cs="宋体"/>
          <w:color w:val="000000" w:themeColor="text1"/>
          <w:sz w:val="32"/>
          <w:szCs w:val="32"/>
          <w:u w:val="none"/>
          <w14:textFill>
            <w14:solidFill>
              <w14:schemeClr w14:val="tx1"/>
            </w14:solidFill>
          </w14:textFill>
        </w:rPr>
        <w:t>委</w:t>
      </w:r>
      <w:r>
        <w:rPr>
          <w:rFonts w:hint="eastAsia" w:ascii="仿宋" w:hAnsi="仿宋" w:eastAsia="仿宋" w:cs="宋体"/>
          <w:color w:val="000000" w:themeColor="text1"/>
          <w:sz w:val="32"/>
          <w:szCs w:val="32"/>
          <w:u w:val="none"/>
          <w:lang w:eastAsia="zh-CN"/>
          <w14:textFill>
            <w14:solidFill>
              <w14:schemeClr w14:val="tx1"/>
            </w14:solidFill>
          </w14:textFill>
        </w:rPr>
        <w:t>牵头负责煤矿、粮油储备</w:t>
      </w:r>
      <w:r>
        <w:rPr>
          <w:rFonts w:hint="eastAsia" w:ascii="仿宋" w:hAnsi="仿宋" w:eastAsia="仿宋" w:cs="宋体"/>
          <w:color w:val="000000" w:themeColor="text1"/>
          <w:sz w:val="32"/>
          <w:szCs w:val="32"/>
          <w:u w:val="none"/>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油气长输管道和电力安全，市交通运输局、市公安局等部门按照职责做好铁路沿线安全，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邮政管理局牵头负责邮政快递业安全，</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消防救援支队牵头负责消防安全。未列明的行业领域，按照“三管三必须”的要求，制定本行业领域的治本攻坚三年行动子方案，并组织实施。</w:t>
      </w:r>
    </w:p>
    <w:p>
      <w:pPr>
        <w:keepNext w:val="0"/>
        <w:keepLines w:val="0"/>
        <w:pageBreakBefore w:val="0"/>
        <w:wordWrap/>
        <w:overflowPunct/>
        <w:topLinePunct w:val="0"/>
        <w:bidi w:val="0"/>
        <w:spacing w:line="560" w:lineRule="exact"/>
        <w:ind w:firstLine="640" w:firstLineChars="200"/>
        <w:jc w:val="both"/>
        <w:rPr>
          <w:rFonts w:ascii="仿宋" w:hAnsi="仿宋" w:eastAsia="仿宋"/>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三</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加强安全投入。</w:t>
      </w:r>
      <w:r>
        <w:rPr>
          <w:rFonts w:hint="eastAsia" w:ascii="仿宋" w:hAnsi="仿宋" w:eastAsia="仿宋" w:cs="宋体"/>
          <w:color w:val="000000" w:themeColor="text1"/>
          <w:sz w:val="32"/>
          <w:szCs w:val="32"/>
          <w:u w:val="none"/>
          <w:lang w:eastAsia="zh-CN"/>
          <w14:textFill>
            <w14:solidFill>
              <w14:schemeClr w14:val="tx1"/>
            </w14:solidFill>
          </w14:textFill>
        </w:rPr>
        <w:t>各县区、各有关部门和单位要强化安全生产相关工作投入，合理安排重大事故隐患排查整治等相关经费，切实做好安全生产治本攻坚各项任务措施的支撑保障。各有关部门单位要聚焦制约安全生产的重点难点问题加强统筹规划、落实整治资金，一张蓝图绘到底，以久久为功的劲头持续推进</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人防、技防、工程防、管理防</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等治本之策，不断提升本质安全水平。各地区、各有关部门要督促企业单位加大安全生产投入力度，严格执行《企业安全生产费用提取和使用管理办法》</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在企业绩效考核中把安全投入作为重要考核内容，严防低价中标影响企业正常安全投入。</w:t>
      </w:r>
    </w:p>
    <w:p>
      <w:pPr>
        <w:keepNext w:val="0"/>
        <w:keepLines w:val="0"/>
        <w:pageBreakBefore w:val="0"/>
        <w:wordWrap/>
        <w:overflowPunct/>
        <w:topLinePunct w:val="0"/>
        <w:bidi w:val="0"/>
        <w:spacing w:line="560" w:lineRule="exact"/>
        <w:ind w:firstLine="640" w:firstLineChars="200"/>
        <w:jc w:val="both"/>
        <w:rPr>
          <w:rFonts w:ascii="仿宋" w:hAnsi="仿宋" w:eastAsia="仿宋"/>
          <w:strike/>
          <w:dstrike w:val="0"/>
          <w:color w:val="000000" w:themeColor="text1"/>
          <w:sz w:val="32"/>
          <w:szCs w:val="32"/>
          <w:u w:val="none"/>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四</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完善制度机制。</w:t>
      </w:r>
      <w:r>
        <w:rPr>
          <w:rFonts w:hint="eastAsia" w:ascii="仿宋" w:hAnsi="仿宋" w:eastAsia="仿宋" w:cs="宋体"/>
          <w:color w:val="000000" w:themeColor="text1"/>
          <w:sz w:val="32"/>
          <w:szCs w:val="32"/>
          <w:u w:val="none"/>
          <w:lang w:eastAsia="zh-CN"/>
          <w14:textFill>
            <w14:solidFill>
              <w14:schemeClr w14:val="tx1"/>
            </w14:solidFill>
          </w14:textFill>
        </w:rPr>
        <w:t>各县区、各有关部门和单位要进一步强化法治思维，加强宏观调控和配套政策供给，增强安全生产综合能力。聚焦安全生产重点难点问题推动不断完善有关工作规定要求，健全常态化工作机制，切实提升安全生产依法治理能力和水平。加强重点行业领域强制性标准监督落实，积极培育发展企业标准，从源头上提升安全防范能力。</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宋体"/>
          <w:color w:val="000000" w:themeColor="text1"/>
          <w:sz w:val="32"/>
          <w:szCs w:val="32"/>
          <w:u w:val="none"/>
          <w:lang w:eastAsia="zh-CN"/>
          <w14:textFill>
            <w14:solidFill>
              <w14:schemeClr w14:val="tx1"/>
            </w14:solidFill>
          </w14:textFill>
        </w:rPr>
      </w:pP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五</w:t>
      </w:r>
      <w:r>
        <w:rPr>
          <w:rFonts w:ascii="楷体" w:hAnsi="楷体" w:eastAsia="楷体" w:cs="Times New Roman"/>
          <w:b w:val="0"/>
          <w:bCs w:val="0"/>
          <w:color w:val="000000" w:themeColor="text1"/>
          <w:sz w:val="32"/>
          <w:szCs w:val="32"/>
          <w:u w:val="none"/>
          <w:lang w:eastAsia="zh-CN"/>
          <w14:textFill>
            <w14:solidFill>
              <w14:schemeClr w14:val="tx1"/>
            </w14:solidFill>
          </w14:textFill>
        </w:rPr>
        <w:t>)</w:t>
      </w: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强化正向激励。</w:t>
      </w:r>
      <w:r>
        <w:rPr>
          <w:rFonts w:hint="eastAsia" w:ascii="仿宋" w:hAnsi="仿宋" w:eastAsia="仿宋" w:cs="宋体"/>
          <w:color w:val="000000" w:themeColor="text1"/>
          <w:sz w:val="32"/>
          <w:szCs w:val="32"/>
          <w:u w:val="none"/>
          <w:lang w:eastAsia="zh-CN"/>
          <w14:textFill>
            <w14:solidFill>
              <w14:schemeClr w14:val="tx1"/>
            </w14:solidFill>
          </w14:textFill>
        </w:rPr>
        <w:t>各县区、各有关部门和单位要用好正向激励手段，利用好安全生产</w:t>
      </w:r>
      <w:r>
        <w:rPr>
          <w:rFonts w:hint="eastAsia" w:ascii="仿宋" w:hAnsi="仿宋" w:eastAsia="仿宋" w:cs="宋体"/>
          <w:color w:val="000000" w:themeColor="text1"/>
          <w:sz w:val="32"/>
          <w:szCs w:val="32"/>
          <w:u w:val="none"/>
          <w14:textFill>
            <w14:solidFill>
              <w14:schemeClr w14:val="tx1"/>
            </w14:solidFill>
          </w14:textFill>
        </w:rPr>
        <w:t>季度</w:t>
      </w:r>
      <w:r>
        <w:rPr>
          <w:rFonts w:hint="eastAsia" w:ascii="仿宋" w:hAnsi="仿宋" w:eastAsia="仿宋" w:cs="宋体"/>
          <w:color w:val="000000" w:themeColor="text1"/>
          <w:sz w:val="32"/>
          <w:szCs w:val="32"/>
          <w:u w:val="none"/>
          <w:lang w:eastAsia="zh-CN"/>
          <w14:textFill>
            <w14:solidFill>
              <w14:schemeClr w14:val="tx1"/>
            </w14:solidFill>
          </w14:textFill>
        </w:rPr>
        <w:t>“赛马”机制，在党政领导干部考察、评优评先等工作中注意了解治本攻坚三年行动开展情况，按照党和国家有关规定对治本攻坚工作中成绩突出的集体和个人进行表扬奖励，相关领导干部在同等条件下可按规定优先提拔晋升。要加大治本攻坚工作中成绩先进单位的通报表扬力度，强化正面典型引导和示范引路，以点带面推动整体工作水平提升。</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宋体"/>
          <w:color w:val="000000" w:themeColor="text1"/>
          <w:sz w:val="32"/>
          <w:szCs w:val="32"/>
          <w:u w:val="none"/>
          <w:lang w:eastAsia="zh-CN"/>
          <w14:textFill>
            <w14:solidFill>
              <w14:schemeClr w14:val="tx1"/>
            </w14:solidFill>
          </w14:textFill>
        </w:rPr>
      </w:pPr>
      <w:r>
        <w:rPr>
          <w:rFonts w:hint="eastAsia" w:ascii="楷体" w:hAnsi="楷体" w:eastAsia="楷体" w:cs="Times New Roman"/>
          <w:b w:val="0"/>
          <w:bCs w:val="0"/>
          <w:color w:val="000000" w:themeColor="text1"/>
          <w:sz w:val="32"/>
          <w:szCs w:val="32"/>
          <w:u w:val="none"/>
          <w:lang w:eastAsia="zh-CN"/>
          <w14:textFill>
            <w14:solidFill>
              <w14:schemeClr w14:val="tx1"/>
            </w14:solidFill>
          </w14:textFill>
        </w:rPr>
        <w:t>（六）营造浓厚氛围。</w:t>
      </w:r>
      <w:r>
        <w:rPr>
          <w:rFonts w:hint="eastAsia" w:ascii="仿宋" w:hAnsi="仿宋" w:eastAsia="仿宋" w:cs="宋体"/>
          <w:color w:val="000000" w:themeColor="text1"/>
          <w:sz w:val="32"/>
          <w:szCs w:val="32"/>
          <w:u w:val="none"/>
          <w:lang w:eastAsia="zh-CN"/>
          <w14:textFill>
            <w14:solidFill>
              <w14:schemeClr w14:val="tx1"/>
            </w14:solidFill>
          </w14:textFill>
        </w:rPr>
        <w:t>各县区、各有关部门和单位要充分发挥广播、电视、报纸、网络等传统媒体和微信、抖音等新媒体作用，开辟专题专栏，大力宣传“十大行动”任务目标、进展情况；结合“安全生产月”“安全生产万里行”、安全宣传“五进”等活动，深入挖掘先进经验、曝光典型案例，引导各生产经营单位和广大职工增强做好安全生产工作的主动性和自觉性；鼓励广大群众通过各种形式，积极举报安全生产事故隐患并落实举报奖励制度，提高公众参与性，推动形成人人关注安全、支持安全的浓厚氛围。</w:t>
      </w:r>
    </w:p>
    <w:p>
      <w:pPr>
        <w:keepNext w:val="0"/>
        <w:keepLines w:val="0"/>
        <w:pageBreakBefore w:val="0"/>
        <w:wordWrap/>
        <w:overflowPunct/>
        <w:topLinePunct w:val="0"/>
        <w:bidi w:val="0"/>
        <w:spacing w:line="560" w:lineRule="exact"/>
        <w:ind w:firstLine="640" w:firstLineChars="200"/>
        <w:jc w:val="both"/>
        <w:rPr>
          <w:rFonts w:hint="eastAsia" w:ascii="仿宋" w:hAnsi="仿宋" w:eastAsia="仿宋" w:cs="宋体"/>
          <w:color w:val="000000" w:themeColor="text1"/>
          <w:sz w:val="32"/>
          <w:szCs w:val="32"/>
          <w:u w:val="none"/>
          <w:lang w:eastAsia="zh-CN"/>
          <w14:textFill>
            <w14:solidFill>
              <w14:schemeClr w14:val="tx1"/>
            </w14:solidFill>
          </w14:textFill>
        </w:rPr>
      </w:pPr>
      <w:r>
        <w:rPr>
          <w:rFonts w:ascii="楷体" w:hAnsi="楷体" w:eastAsia="楷体"/>
          <w:b w:val="0"/>
          <w:bCs w:val="0"/>
          <w:color w:val="000000" w:themeColor="text1"/>
          <w:sz w:val="32"/>
          <w:szCs w:val="32"/>
          <w:u w:val="none"/>
          <w:lang w:eastAsia="zh-CN"/>
          <w14:textFill>
            <w14:solidFill>
              <w14:schemeClr w14:val="tx1"/>
            </w14:solidFill>
          </w14:textFill>
        </w:rPr>
        <w:t>(</w:t>
      </w:r>
      <w:r>
        <w:rPr>
          <w:rFonts w:hint="eastAsia" w:ascii="楷体" w:hAnsi="楷体" w:eastAsia="楷体"/>
          <w:b w:val="0"/>
          <w:bCs w:val="0"/>
          <w:color w:val="000000" w:themeColor="text1"/>
          <w:sz w:val="32"/>
          <w:szCs w:val="32"/>
          <w:u w:val="none"/>
          <w:lang w:eastAsia="zh-CN"/>
          <w14:textFill>
            <w14:solidFill>
              <w14:schemeClr w14:val="tx1"/>
            </w14:solidFill>
          </w14:textFill>
        </w:rPr>
        <w:t>七</w:t>
      </w:r>
      <w:r>
        <w:rPr>
          <w:rFonts w:ascii="楷体" w:hAnsi="楷体" w:eastAsia="楷体"/>
          <w:b w:val="0"/>
          <w:bCs w:val="0"/>
          <w:color w:val="000000" w:themeColor="text1"/>
          <w:sz w:val="32"/>
          <w:szCs w:val="32"/>
          <w:u w:val="none"/>
          <w:lang w:eastAsia="zh-CN"/>
          <w14:textFill>
            <w14:solidFill>
              <w14:schemeClr w14:val="tx1"/>
            </w14:solidFill>
          </w14:textFill>
        </w:rPr>
        <w:t>)</w:t>
      </w:r>
      <w:r>
        <w:rPr>
          <w:rFonts w:hint="eastAsia" w:ascii="楷体" w:hAnsi="楷体" w:eastAsia="楷体"/>
          <w:b w:val="0"/>
          <w:bCs w:val="0"/>
          <w:color w:val="000000" w:themeColor="text1"/>
          <w:sz w:val="32"/>
          <w:szCs w:val="32"/>
          <w:u w:val="none"/>
          <w:lang w:eastAsia="zh-CN"/>
          <w14:textFill>
            <w14:solidFill>
              <w14:schemeClr w14:val="tx1"/>
            </w14:solidFill>
          </w14:textFill>
        </w:rPr>
        <w:t>强化考核巡查。</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安委会将把治本攻坚三年行动作为综合督查、暗查暗访及年度安全生产和消防工作考核巡查的重点，拉开梯次并如实向</w:t>
      </w:r>
      <w:r>
        <w:rPr>
          <w:rFonts w:hint="eastAsia" w:ascii="仿宋" w:hAnsi="仿宋" w:eastAsia="仿宋" w:cs="宋体"/>
          <w:color w:val="000000" w:themeColor="text1"/>
          <w:sz w:val="32"/>
          <w:szCs w:val="32"/>
          <w:u w:val="none"/>
          <w14:textFill>
            <w14:solidFill>
              <w14:schemeClr w14:val="tx1"/>
            </w14:solidFill>
          </w14:textFill>
        </w:rPr>
        <w:t>市</w:t>
      </w:r>
      <w:r>
        <w:rPr>
          <w:rFonts w:hint="eastAsia" w:ascii="仿宋" w:hAnsi="仿宋" w:eastAsia="仿宋" w:cs="宋体"/>
          <w:color w:val="000000" w:themeColor="text1"/>
          <w:sz w:val="32"/>
          <w:szCs w:val="32"/>
          <w:u w:val="none"/>
          <w:lang w:eastAsia="zh-CN"/>
          <w14:textFill>
            <w14:solidFill>
              <w14:schemeClr w14:val="tx1"/>
            </w14:solidFill>
          </w14:textFill>
        </w:rPr>
        <w:t>委报告，将综合督查、考核巡查结果作为地方党政领导班子和领导干部政绩考核评价的重要参考，切实推动各项攻坚措施落实；优化考核巡查方式方法，将</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多通报、多发督促函、多暗访</w:t>
      </w:r>
      <w:r>
        <w:rPr>
          <w:rFonts w:ascii="仿宋" w:hAnsi="仿宋" w:eastAsia="仿宋"/>
          <w:color w:val="000000" w:themeColor="text1"/>
          <w:sz w:val="32"/>
          <w:szCs w:val="32"/>
          <w:u w:val="none"/>
          <w:lang w:eastAsia="zh-CN"/>
          <w14:textFill>
            <w14:solidFill>
              <w14:schemeClr w14:val="tx1"/>
            </w14:solidFill>
          </w14:textFill>
        </w:rPr>
        <w:t>”</w:t>
      </w:r>
      <w:r>
        <w:rPr>
          <w:rFonts w:hint="eastAsia" w:ascii="仿宋" w:hAnsi="仿宋" w:eastAsia="仿宋" w:cs="宋体"/>
          <w:color w:val="000000" w:themeColor="text1"/>
          <w:sz w:val="32"/>
          <w:szCs w:val="32"/>
          <w:u w:val="none"/>
          <w:lang w:eastAsia="zh-CN"/>
          <w14:textFill>
            <w14:solidFill>
              <w14:schemeClr w14:val="tx1"/>
            </w14:solidFill>
          </w14:textFill>
        </w:rPr>
        <w:t>作为安全督查长效机制，建立完善安委会督办交办制度，对重大事故隐患排查整治不力等突出问题及时约谈、通报、曝光、“红黄牌”警示。市安全生产治本攻坚三年行动领导小组办公室将按照“一月一调度、一季一通报、一年一评估”要求，及时调度、通报“十大行动”进展情况，对工作不落实、推进不力的县区和单位，将适时进行约谈、问责。各县区、各有关部门和单位也要结合实际，分级建立健全考核巡查、督导督办、责任倒查等各项工作机制，紧盯重点行业，突出重点地区，紧抓与群众密切相关的区域和点位开展督导检查，严格问责问效，推动安全生产治本攻坚三年行动落实落地。</w:t>
      </w:r>
    </w:p>
    <w:p>
      <w:pPr>
        <w:pStyle w:val="2"/>
        <w:keepNext w:val="0"/>
        <w:keepLines w:val="0"/>
        <w:pageBreakBefore w:val="0"/>
        <w:kinsoku/>
        <w:wordWrap/>
        <w:overflowPunct/>
        <w:topLinePunct w:val="0"/>
        <w:autoSpaceDE/>
        <w:autoSpaceDN/>
        <w:bidi w:val="0"/>
        <w:adjustRightInd/>
        <w:snapToGrid/>
        <w:spacing w:line="560" w:lineRule="exact"/>
        <w:ind w:firstLine="0" w:firstLineChars="0"/>
        <w:textAlignment w:val="auto"/>
        <w:rPr>
          <w:rFonts w:hint="eastAsia" w:ascii="Times New Roman" w:hAnsi="Times New Roman" w:eastAsia="仿宋_GB2312" w:cs="仿宋_GB2312"/>
          <w:sz w:val="28"/>
          <w:szCs w:val="28"/>
        </w:rPr>
      </w:pPr>
    </w:p>
    <w:p>
      <w:pPr>
        <w:pStyle w:val="3"/>
        <w:rPr>
          <w:rFonts w:hint="eastAsia"/>
        </w:rPr>
      </w:pPr>
    </w:p>
    <w:p>
      <w:pPr>
        <w:pStyle w:val="2"/>
        <w:keepNext w:val="0"/>
        <w:keepLines w:val="0"/>
        <w:pageBreakBefore w:val="0"/>
        <w:widowControl/>
        <w:wordWrap/>
        <w:overflowPunct/>
        <w:topLinePunct w:val="0"/>
        <w:bidi w:val="0"/>
        <w:spacing w:line="560" w:lineRule="exact"/>
        <w:ind w:firstLine="0" w:firstLineChars="0"/>
        <w:rPr>
          <w:rFonts w:ascii="Times New Roman" w:hAnsi="Times New Roman" w:eastAsia="仿宋_GB2312" w:cs="仿宋_GB2312"/>
          <w:sz w:val="28"/>
          <w:szCs w:val="28"/>
        </w:rPr>
      </w:pPr>
      <w:r>
        <w:rPr>
          <w:rFonts w:hint="eastAsia" w:ascii="Times New Roman" w:hAnsi="Times New Roman" w:eastAsia="仿宋_GB2312" w:cs="仿宋_GB2312"/>
          <w:sz w:val="28"/>
          <w:szCs w:val="28"/>
        </w:rPr>
        <w:t>（信息公开形式：</w:t>
      </w:r>
      <w:r>
        <w:rPr>
          <w:rFonts w:hint="eastAsia" w:ascii="Times New Roman" w:hAnsi="Times New Roman" w:eastAsia="仿宋_GB2312" w:cs="仿宋_GB2312"/>
          <w:sz w:val="28"/>
          <w:szCs w:val="28"/>
          <w:lang w:eastAsia="zh-CN"/>
        </w:rPr>
        <w:t>主动</w:t>
      </w:r>
      <w:r>
        <w:rPr>
          <w:rFonts w:hint="eastAsia" w:ascii="Times New Roman" w:hAnsi="Times New Roman" w:eastAsia="仿宋_GB2312" w:cs="仿宋_GB2312"/>
          <w:sz w:val="28"/>
          <w:szCs w:val="28"/>
        </w:rPr>
        <w:t>公开）</w:t>
      </w:r>
    </w:p>
    <w:tbl>
      <w:tblPr>
        <w:tblStyle w:val="14"/>
        <w:tblW w:w="0" w:type="auto"/>
        <w:tblInd w:w="0" w:type="dxa"/>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Layout w:type="fixed"/>
        <w:tblCellMar>
          <w:top w:w="0" w:type="dxa"/>
          <w:left w:w="108" w:type="dxa"/>
          <w:bottom w:w="0" w:type="dxa"/>
          <w:right w:w="108" w:type="dxa"/>
        </w:tblCellMar>
      </w:tblPr>
      <w:tblGrid>
        <w:gridCol w:w="9003"/>
      </w:tblGrid>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c>
          <w:tcPr>
            <w:tcW w:w="9003" w:type="dxa"/>
            <w:noWrap w:val="0"/>
            <w:vAlign w:val="center"/>
          </w:tcPr>
          <w:p>
            <w:pPr>
              <w:keepNext w:val="0"/>
              <w:keepLines w:val="0"/>
              <w:pageBreakBefore w:val="0"/>
              <w:widowControl/>
              <w:wordWrap/>
              <w:overflowPunct/>
              <w:topLinePunct w:val="0"/>
              <w:bidi w:val="0"/>
              <w:spacing w:line="560" w:lineRule="exact"/>
              <w:ind w:left="840" w:hanging="840" w:hangingChars="300"/>
              <w:jc w:val="left"/>
              <w:rPr>
                <w:rFonts w:hint="eastAsia" w:ascii="Times New Roman" w:hAnsi="Times New Roman" w:eastAsia="仿宋_GB2312"/>
                <w:sz w:val="28"/>
                <w:szCs w:val="28"/>
                <w:lang w:eastAsia="zh-CN"/>
              </w:rPr>
            </w:pPr>
            <w:r>
              <w:rPr>
                <w:rFonts w:hint="eastAsia" w:ascii="Times New Roman" w:hAnsi="Times New Roman" w:eastAsia="仿宋_GB2312"/>
                <w:sz w:val="28"/>
                <w:szCs w:val="28"/>
              </w:rPr>
              <w:t>抄送：</w:t>
            </w:r>
            <w:r>
              <w:rPr>
                <w:rFonts w:hint="eastAsia" w:ascii="Times New Roman" w:hAnsi="Times New Roman" w:eastAsia="仿宋_GB2312"/>
                <w:sz w:val="28"/>
                <w:szCs w:val="28"/>
                <w:lang w:eastAsia="zh-CN"/>
              </w:rPr>
              <w:t>省安委会办公室，</w:t>
            </w:r>
            <w:r>
              <w:rPr>
                <w:rFonts w:hint="eastAsia" w:ascii="Times New Roman" w:hAnsi="Times New Roman" w:eastAsia="仿宋_GB2312" w:cs="仿宋_GB2312"/>
                <w:kern w:val="0"/>
                <w:sz w:val="28"/>
                <w:szCs w:val="28"/>
              </w:rPr>
              <w:t>市委办公室、市政府办公室</w:t>
            </w:r>
            <w:r>
              <w:rPr>
                <w:rFonts w:hint="eastAsia" w:ascii="Times New Roman" w:hAnsi="Times New Roman" w:eastAsia="仿宋_GB2312" w:cs="仿宋_GB2312"/>
                <w:kern w:val="0"/>
                <w:sz w:val="28"/>
                <w:szCs w:val="28"/>
                <w:lang w:eastAsia="zh-CN"/>
              </w:rPr>
              <w:t>。</w:t>
            </w:r>
          </w:p>
        </w:tc>
      </w:tr>
      <w:tr>
        <w:tblPrEx>
          <w:tblBorders>
            <w:top w:val="single" w:color="auto" w:sz="12" w:space="0"/>
            <w:left w:val="none" w:color="auto" w:sz="0" w:space="0"/>
            <w:bottom w:val="single" w:color="auto" w:sz="12" w:space="0"/>
            <w:right w:val="none" w:color="auto" w:sz="0" w:space="0"/>
            <w:insideH w:val="single" w:color="auto" w:sz="8" w:space="0"/>
            <w:insideV w:val="single" w:color="auto" w:sz="8" w:space="0"/>
          </w:tblBorders>
          <w:tblCellMar>
            <w:top w:w="0" w:type="dxa"/>
            <w:left w:w="108" w:type="dxa"/>
            <w:bottom w:w="0" w:type="dxa"/>
            <w:right w:w="108" w:type="dxa"/>
          </w:tblCellMar>
        </w:tblPrEx>
        <w:tc>
          <w:tcPr>
            <w:tcW w:w="9003" w:type="dxa"/>
            <w:noWrap w:val="0"/>
            <w:vAlign w:val="center"/>
          </w:tcPr>
          <w:p>
            <w:pPr>
              <w:keepNext w:val="0"/>
              <w:keepLines w:val="0"/>
              <w:pageBreakBefore w:val="0"/>
              <w:widowControl/>
              <w:wordWrap/>
              <w:overflowPunct/>
              <w:topLinePunct w:val="0"/>
              <w:bidi w:val="0"/>
              <w:spacing w:line="560" w:lineRule="exact"/>
              <w:rPr>
                <w:rFonts w:ascii="Times New Roman" w:hAnsi="Times New Roman" w:eastAsia="仿宋_GB2312"/>
                <w:sz w:val="28"/>
                <w:szCs w:val="28"/>
              </w:rPr>
            </w:pPr>
            <w:r>
              <w:rPr>
                <w:rFonts w:hint="eastAsia" w:ascii="Times New Roman" w:hAnsi="Times New Roman" w:eastAsia="仿宋_GB2312"/>
                <w:sz w:val="28"/>
                <w:szCs w:val="28"/>
              </w:rPr>
              <w:t>亳州市</w:t>
            </w:r>
            <w:r>
              <w:rPr>
                <w:rFonts w:hint="eastAsia" w:ascii="Times New Roman" w:hAnsi="Times New Roman" w:eastAsia="仿宋_GB2312"/>
                <w:sz w:val="28"/>
                <w:szCs w:val="28"/>
                <w:lang w:eastAsia="zh-CN"/>
              </w:rPr>
              <w:t>安全生产委员会</w:t>
            </w:r>
            <w:r>
              <w:rPr>
                <w:rFonts w:hint="eastAsia" w:ascii="Times New Roman" w:hAnsi="Times New Roman" w:eastAsia="仿宋_GB2312"/>
                <w:sz w:val="28"/>
                <w:szCs w:val="28"/>
              </w:rPr>
              <w:t>办公室                 20</w:t>
            </w:r>
            <w:r>
              <w:rPr>
                <w:rFonts w:hint="eastAsia" w:ascii="Times New Roman" w:hAnsi="Times New Roman" w:eastAsia="仿宋_GB2312"/>
                <w:sz w:val="28"/>
                <w:szCs w:val="28"/>
                <w:lang w:val="en-US" w:eastAsia="zh-CN"/>
              </w:rPr>
              <w:t>24</w:t>
            </w:r>
            <w:r>
              <w:rPr>
                <w:rFonts w:hint="eastAsia" w:ascii="Times New Roman" w:hAnsi="Times New Roman" w:eastAsia="仿宋_GB2312"/>
                <w:sz w:val="28"/>
                <w:szCs w:val="28"/>
              </w:rPr>
              <w:t>年</w:t>
            </w:r>
            <w:r>
              <w:rPr>
                <w:rFonts w:hint="eastAsia" w:ascii="Times New Roman" w:hAnsi="Times New Roman" w:eastAsia="仿宋_GB2312"/>
                <w:sz w:val="28"/>
                <w:szCs w:val="28"/>
                <w:lang w:val="en-US" w:eastAsia="zh-CN"/>
              </w:rPr>
              <w:t>2</w:t>
            </w:r>
            <w:r>
              <w:rPr>
                <w:rFonts w:hint="eastAsia" w:ascii="Times New Roman" w:hAnsi="Times New Roman" w:eastAsia="仿宋_GB2312"/>
                <w:sz w:val="28"/>
                <w:szCs w:val="28"/>
              </w:rPr>
              <w:t>月</w:t>
            </w:r>
            <w:r>
              <w:rPr>
                <w:rFonts w:hint="eastAsia" w:ascii="Times New Roman" w:hAnsi="Times New Roman" w:eastAsia="仿宋_GB2312"/>
                <w:sz w:val="28"/>
                <w:szCs w:val="28"/>
                <w:lang w:val="en-US" w:eastAsia="zh-CN"/>
              </w:rPr>
              <w:t>21</w:t>
            </w:r>
            <w:r>
              <w:rPr>
                <w:rFonts w:hint="eastAsia" w:ascii="Times New Roman" w:hAnsi="Times New Roman" w:eastAsia="仿宋_GB2312"/>
                <w:sz w:val="28"/>
                <w:szCs w:val="28"/>
              </w:rPr>
              <w:t>日印发</w:t>
            </w:r>
          </w:p>
        </w:tc>
      </w:tr>
    </w:tbl>
    <w:p>
      <w:pPr>
        <w:keepNext w:val="0"/>
        <w:keepLines w:val="0"/>
        <w:pageBreakBefore w:val="0"/>
        <w:widowControl/>
        <w:wordWrap/>
        <w:overflowPunct/>
        <w:topLinePunct w:val="0"/>
        <w:bidi w:val="0"/>
        <w:spacing w:line="560" w:lineRule="exact"/>
        <w:jc w:val="right"/>
        <w:rPr>
          <w:rFonts w:hint="default" w:ascii="Times New Roman" w:hAnsi="Times New Roman" w:eastAsia="仿宋_GB2312" w:cs="仿宋_GB2312"/>
          <w:sz w:val="32"/>
          <w:szCs w:val="32"/>
          <w:lang w:val="en-US" w:eastAsia="zh-CN"/>
        </w:rPr>
      </w:pPr>
      <w:r>
        <w:rPr>
          <w:rFonts w:hint="eastAsia" w:ascii="Times New Roman" w:hAnsi="Times New Roman" w:eastAsia="仿宋_GB2312" w:cs="仿宋_GB2312"/>
          <w:sz w:val="28"/>
          <w:szCs w:val="28"/>
          <w:lang w:val="en-US" w:eastAsia="zh-CN"/>
        </w:rPr>
        <w:t xml:space="preserve">   </w:t>
      </w:r>
      <w:r>
        <w:rPr>
          <w:rFonts w:hint="eastAsia" w:ascii="Times New Roman" w:hAnsi="Times New Roman" w:eastAsia="仿宋_GB2312" w:cs="仿宋_GB2312"/>
          <w:sz w:val="28"/>
          <w:szCs w:val="28"/>
        </w:rPr>
        <w:t>共印10份</w:t>
      </w:r>
    </w:p>
    <w:sectPr>
      <w:footerReference r:id="rId3" w:type="default"/>
      <w:pgSz w:w="11906" w:h="16838"/>
      <w:pgMar w:top="1894" w:right="1519" w:bottom="2007" w:left="1519"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altName w:val="方正仿宋_GBK"/>
    <w:panose1 w:val="02010609060101010101"/>
    <w:charset w:val="86"/>
    <w:family w:val="modern"/>
    <w:pitch w:val="default"/>
    <w:sig w:usb0="00000000" w:usb1="00000000" w:usb2="00000016" w:usb3="00000000" w:csb0="00040001" w:csb1="00000000"/>
  </w:font>
  <w:font w:name="等线">
    <w:altName w:val="华文仿宋"/>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仿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FgAAAGRycy9QSwECFAAU&#10;AAAACACHTuJAs0lY7tAAAAAFAQAADwAAAAAAAAABACAAAAA4AAAAZHJzL2Rvd25yZXYueG1sUEsB&#10;AhQAFAAAAAgAh07iQGUktTAgAgAANwQAAA4AAAAAAAAAAQAgAAAANQEAAGRycy9lMm9Eb2MueG1s&#10;UEsFBgAAAAAGAAYAWQEAAMcFAAAAAA==&#10;">
              <v:fill on="f" focussize="0,0"/>
              <v:stroke on="f" weight="0.5pt"/>
              <v:imagedata o:title=""/>
              <o:lock v:ext="edit" aspectratio="f"/>
              <v:textbox inset="0mm,0mm,0mm,0mm" style="mso-fit-shape-to-text:t;">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- 3 -</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YjRmY2ExMDA1OGEzNjg2MWQ4ZTg3NzY5N2JiY2EifQ=="/>
  </w:docVars>
  <w:rsids>
    <w:rsidRoot w:val="00CD0F3B"/>
    <w:rsid w:val="000B0394"/>
    <w:rsid w:val="00115D80"/>
    <w:rsid w:val="00155982"/>
    <w:rsid w:val="001A7D6D"/>
    <w:rsid w:val="00231F01"/>
    <w:rsid w:val="002B655B"/>
    <w:rsid w:val="00302ACB"/>
    <w:rsid w:val="003A0CAB"/>
    <w:rsid w:val="00441793"/>
    <w:rsid w:val="0049459B"/>
    <w:rsid w:val="00497964"/>
    <w:rsid w:val="004D4A18"/>
    <w:rsid w:val="004F163F"/>
    <w:rsid w:val="00511719"/>
    <w:rsid w:val="005D46A2"/>
    <w:rsid w:val="00640C7E"/>
    <w:rsid w:val="00651C4C"/>
    <w:rsid w:val="00674B61"/>
    <w:rsid w:val="006D69C7"/>
    <w:rsid w:val="0076702D"/>
    <w:rsid w:val="007B6E7E"/>
    <w:rsid w:val="00814464"/>
    <w:rsid w:val="0083050D"/>
    <w:rsid w:val="00886014"/>
    <w:rsid w:val="0089107B"/>
    <w:rsid w:val="008957B4"/>
    <w:rsid w:val="00916447"/>
    <w:rsid w:val="00971529"/>
    <w:rsid w:val="009B25D5"/>
    <w:rsid w:val="009D616D"/>
    <w:rsid w:val="00A278C8"/>
    <w:rsid w:val="00A67C8E"/>
    <w:rsid w:val="00A82BE6"/>
    <w:rsid w:val="00AA53B9"/>
    <w:rsid w:val="00B51733"/>
    <w:rsid w:val="00B641CC"/>
    <w:rsid w:val="00C314C1"/>
    <w:rsid w:val="00C44288"/>
    <w:rsid w:val="00C76475"/>
    <w:rsid w:val="00C8525F"/>
    <w:rsid w:val="00C96ADF"/>
    <w:rsid w:val="00CD0F3B"/>
    <w:rsid w:val="00D56D6C"/>
    <w:rsid w:val="00D84BAF"/>
    <w:rsid w:val="00E420A5"/>
    <w:rsid w:val="00E60E93"/>
    <w:rsid w:val="00ED04C0"/>
    <w:rsid w:val="00EF1D47"/>
    <w:rsid w:val="00F61553"/>
    <w:rsid w:val="00FA619C"/>
    <w:rsid w:val="00FD3AF3"/>
    <w:rsid w:val="01463A91"/>
    <w:rsid w:val="017B2F92"/>
    <w:rsid w:val="01DE1773"/>
    <w:rsid w:val="02066CC9"/>
    <w:rsid w:val="02493B6C"/>
    <w:rsid w:val="027520D7"/>
    <w:rsid w:val="030D582D"/>
    <w:rsid w:val="03675EC4"/>
    <w:rsid w:val="04A24CDA"/>
    <w:rsid w:val="04AE2532"/>
    <w:rsid w:val="04CE1F73"/>
    <w:rsid w:val="04DC26AC"/>
    <w:rsid w:val="051A6F66"/>
    <w:rsid w:val="05410997"/>
    <w:rsid w:val="05946ADF"/>
    <w:rsid w:val="05E148EA"/>
    <w:rsid w:val="06F7755F"/>
    <w:rsid w:val="06F85F55"/>
    <w:rsid w:val="075524D7"/>
    <w:rsid w:val="076D26F6"/>
    <w:rsid w:val="07D524A3"/>
    <w:rsid w:val="082B64FC"/>
    <w:rsid w:val="08A8389B"/>
    <w:rsid w:val="08C33F79"/>
    <w:rsid w:val="093F343F"/>
    <w:rsid w:val="09AD65FB"/>
    <w:rsid w:val="09B53E3C"/>
    <w:rsid w:val="09D84F76"/>
    <w:rsid w:val="0A30067C"/>
    <w:rsid w:val="0AAF6C5C"/>
    <w:rsid w:val="0ACE4A7B"/>
    <w:rsid w:val="0AEF68F5"/>
    <w:rsid w:val="0B16599D"/>
    <w:rsid w:val="0B542E1A"/>
    <w:rsid w:val="0B8B471A"/>
    <w:rsid w:val="0B974E6D"/>
    <w:rsid w:val="0CAE1F72"/>
    <w:rsid w:val="0D004C93"/>
    <w:rsid w:val="0D4E53D4"/>
    <w:rsid w:val="0DF93BBD"/>
    <w:rsid w:val="0DFC36AD"/>
    <w:rsid w:val="0E411FA7"/>
    <w:rsid w:val="0E562BC2"/>
    <w:rsid w:val="0E63197E"/>
    <w:rsid w:val="0F6A0FB2"/>
    <w:rsid w:val="0F6C6610"/>
    <w:rsid w:val="0F9C1A87"/>
    <w:rsid w:val="0FD3668F"/>
    <w:rsid w:val="101F18D4"/>
    <w:rsid w:val="10704B5E"/>
    <w:rsid w:val="108C5BE4"/>
    <w:rsid w:val="10A67900"/>
    <w:rsid w:val="118B3328"/>
    <w:rsid w:val="11FF0FED"/>
    <w:rsid w:val="12280BAC"/>
    <w:rsid w:val="127A66A8"/>
    <w:rsid w:val="131A6BB9"/>
    <w:rsid w:val="134F0723"/>
    <w:rsid w:val="139F6FB4"/>
    <w:rsid w:val="13AE5449"/>
    <w:rsid w:val="142E0338"/>
    <w:rsid w:val="14471F11"/>
    <w:rsid w:val="14C03686"/>
    <w:rsid w:val="15001CD4"/>
    <w:rsid w:val="15007F26"/>
    <w:rsid w:val="1546345F"/>
    <w:rsid w:val="1553019F"/>
    <w:rsid w:val="15632263"/>
    <w:rsid w:val="15973FB2"/>
    <w:rsid w:val="160E0624"/>
    <w:rsid w:val="16225C7A"/>
    <w:rsid w:val="166E3E10"/>
    <w:rsid w:val="16C80323"/>
    <w:rsid w:val="16D5325A"/>
    <w:rsid w:val="16DD2E88"/>
    <w:rsid w:val="16E84E5D"/>
    <w:rsid w:val="1720040C"/>
    <w:rsid w:val="178A0EFF"/>
    <w:rsid w:val="181F6915"/>
    <w:rsid w:val="18CD6371"/>
    <w:rsid w:val="18EF3DDF"/>
    <w:rsid w:val="192B55EA"/>
    <w:rsid w:val="193163BA"/>
    <w:rsid w:val="19736EC8"/>
    <w:rsid w:val="19750326"/>
    <w:rsid w:val="19812AC2"/>
    <w:rsid w:val="19CC487B"/>
    <w:rsid w:val="19E5593D"/>
    <w:rsid w:val="19F53DD2"/>
    <w:rsid w:val="1A0D1510"/>
    <w:rsid w:val="1A772A39"/>
    <w:rsid w:val="1AB86BAD"/>
    <w:rsid w:val="1B375D24"/>
    <w:rsid w:val="1B3E211D"/>
    <w:rsid w:val="1B634D6B"/>
    <w:rsid w:val="1B865B3E"/>
    <w:rsid w:val="1BAF6635"/>
    <w:rsid w:val="1BD96DDB"/>
    <w:rsid w:val="1BDE3B10"/>
    <w:rsid w:val="1BE7774A"/>
    <w:rsid w:val="1BEA723A"/>
    <w:rsid w:val="1BF14125"/>
    <w:rsid w:val="1CAA4BB8"/>
    <w:rsid w:val="1CAD7C68"/>
    <w:rsid w:val="1CD47691"/>
    <w:rsid w:val="1D6C3651"/>
    <w:rsid w:val="1E5B61CE"/>
    <w:rsid w:val="1EC91389"/>
    <w:rsid w:val="1F0B3750"/>
    <w:rsid w:val="1F1627EE"/>
    <w:rsid w:val="1FE87F35"/>
    <w:rsid w:val="20216FA3"/>
    <w:rsid w:val="20316AEA"/>
    <w:rsid w:val="20C364C5"/>
    <w:rsid w:val="217B0488"/>
    <w:rsid w:val="21957C48"/>
    <w:rsid w:val="221B2DD2"/>
    <w:rsid w:val="22495CD8"/>
    <w:rsid w:val="22590C76"/>
    <w:rsid w:val="22913332"/>
    <w:rsid w:val="229722EC"/>
    <w:rsid w:val="22B83BEE"/>
    <w:rsid w:val="230B3170"/>
    <w:rsid w:val="239A1546"/>
    <w:rsid w:val="23FD55B9"/>
    <w:rsid w:val="2440647C"/>
    <w:rsid w:val="24B2712F"/>
    <w:rsid w:val="2504136D"/>
    <w:rsid w:val="259A146C"/>
    <w:rsid w:val="259B37BD"/>
    <w:rsid w:val="25B368EF"/>
    <w:rsid w:val="25B7521A"/>
    <w:rsid w:val="268818DC"/>
    <w:rsid w:val="26AB5818"/>
    <w:rsid w:val="26C1503C"/>
    <w:rsid w:val="27806CA5"/>
    <w:rsid w:val="27871EA8"/>
    <w:rsid w:val="279F108F"/>
    <w:rsid w:val="27B57F88"/>
    <w:rsid w:val="28485A15"/>
    <w:rsid w:val="28C50C43"/>
    <w:rsid w:val="28DF28FD"/>
    <w:rsid w:val="28E03E9F"/>
    <w:rsid w:val="29283399"/>
    <w:rsid w:val="296E232D"/>
    <w:rsid w:val="2A481881"/>
    <w:rsid w:val="2A622692"/>
    <w:rsid w:val="2A804A44"/>
    <w:rsid w:val="2A8C4FC5"/>
    <w:rsid w:val="2AB96756"/>
    <w:rsid w:val="2B5D3585"/>
    <w:rsid w:val="2B715282"/>
    <w:rsid w:val="2B7408CF"/>
    <w:rsid w:val="2BB533C1"/>
    <w:rsid w:val="2C3F0EDD"/>
    <w:rsid w:val="2C8C2585"/>
    <w:rsid w:val="2C972AC7"/>
    <w:rsid w:val="2CB573F1"/>
    <w:rsid w:val="2D7B5F44"/>
    <w:rsid w:val="2D7C1CBC"/>
    <w:rsid w:val="2D8C6148"/>
    <w:rsid w:val="2DB94CBF"/>
    <w:rsid w:val="2DD1025A"/>
    <w:rsid w:val="2DE55AB4"/>
    <w:rsid w:val="2E1F2D74"/>
    <w:rsid w:val="2E3B3926"/>
    <w:rsid w:val="2EA71371"/>
    <w:rsid w:val="2EAD1124"/>
    <w:rsid w:val="2EB55486"/>
    <w:rsid w:val="2EC12539"/>
    <w:rsid w:val="2F056BF7"/>
    <w:rsid w:val="2F45680A"/>
    <w:rsid w:val="2F860BD0"/>
    <w:rsid w:val="2FC34D79"/>
    <w:rsid w:val="301A386E"/>
    <w:rsid w:val="304A60A2"/>
    <w:rsid w:val="30DD2A72"/>
    <w:rsid w:val="30F42A4E"/>
    <w:rsid w:val="310B3A83"/>
    <w:rsid w:val="317C04DD"/>
    <w:rsid w:val="31AB2B70"/>
    <w:rsid w:val="31D43E75"/>
    <w:rsid w:val="3207424B"/>
    <w:rsid w:val="323A41FF"/>
    <w:rsid w:val="327F07E8"/>
    <w:rsid w:val="331F6FBB"/>
    <w:rsid w:val="33A16411"/>
    <w:rsid w:val="33F64577"/>
    <w:rsid w:val="340D18C0"/>
    <w:rsid w:val="34C8684A"/>
    <w:rsid w:val="35134CB4"/>
    <w:rsid w:val="356C2617"/>
    <w:rsid w:val="358B3002"/>
    <w:rsid w:val="35EF5106"/>
    <w:rsid w:val="361E1B63"/>
    <w:rsid w:val="366B4E6A"/>
    <w:rsid w:val="369D33CF"/>
    <w:rsid w:val="36E7289C"/>
    <w:rsid w:val="37133692"/>
    <w:rsid w:val="371F616C"/>
    <w:rsid w:val="373158C6"/>
    <w:rsid w:val="37731A88"/>
    <w:rsid w:val="3795328A"/>
    <w:rsid w:val="37FB43B6"/>
    <w:rsid w:val="384635F3"/>
    <w:rsid w:val="389C5714"/>
    <w:rsid w:val="38C764E2"/>
    <w:rsid w:val="391536F1"/>
    <w:rsid w:val="39455658"/>
    <w:rsid w:val="397228F1"/>
    <w:rsid w:val="39A20CFD"/>
    <w:rsid w:val="3A7A77C8"/>
    <w:rsid w:val="3A7B0C53"/>
    <w:rsid w:val="3AB22BFE"/>
    <w:rsid w:val="3B043A1D"/>
    <w:rsid w:val="3B304812"/>
    <w:rsid w:val="3B561D9F"/>
    <w:rsid w:val="3B5D4EDB"/>
    <w:rsid w:val="3C8841DA"/>
    <w:rsid w:val="3CC05722"/>
    <w:rsid w:val="3CEC29BB"/>
    <w:rsid w:val="3CF950D8"/>
    <w:rsid w:val="3D3954D4"/>
    <w:rsid w:val="3DCE3E6E"/>
    <w:rsid w:val="3DE81D38"/>
    <w:rsid w:val="3E5A7DF8"/>
    <w:rsid w:val="3F32667F"/>
    <w:rsid w:val="3F5B7984"/>
    <w:rsid w:val="3F7A2500"/>
    <w:rsid w:val="3F9966FE"/>
    <w:rsid w:val="3FDE5A59"/>
    <w:rsid w:val="3FED3262"/>
    <w:rsid w:val="407D1B7C"/>
    <w:rsid w:val="408E3D89"/>
    <w:rsid w:val="41146A13"/>
    <w:rsid w:val="41485D02"/>
    <w:rsid w:val="41AE46E3"/>
    <w:rsid w:val="41E44F7E"/>
    <w:rsid w:val="42547DAF"/>
    <w:rsid w:val="42CA554C"/>
    <w:rsid w:val="435713BE"/>
    <w:rsid w:val="44290050"/>
    <w:rsid w:val="44333113"/>
    <w:rsid w:val="44416359"/>
    <w:rsid w:val="449E2DE4"/>
    <w:rsid w:val="44C10289"/>
    <w:rsid w:val="4530540F"/>
    <w:rsid w:val="454F3AE7"/>
    <w:rsid w:val="456E261E"/>
    <w:rsid w:val="45A33E32"/>
    <w:rsid w:val="45B86612"/>
    <w:rsid w:val="45EA00A8"/>
    <w:rsid w:val="4669507C"/>
    <w:rsid w:val="467557CF"/>
    <w:rsid w:val="46DD167C"/>
    <w:rsid w:val="47084895"/>
    <w:rsid w:val="472175A1"/>
    <w:rsid w:val="47276C4E"/>
    <w:rsid w:val="4728277A"/>
    <w:rsid w:val="47303307"/>
    <w:rsid w:val="476C0B5A"/>
    <w:rsid w:val="478D1AFF"/>
    <w:rsid w:val="479C4FDD"/>
    <w:rsid w:val="48160F41"/>
    <w:rsid w:val="48174664"/>
    <w:rsid w:val="481829E1"/>
    <w:rsid w:val="482E20D9"/>
    <w:rsid w:val="489857A5"/>
    <w:rsid w:val="489D100D"/>
    <w:rsid w:val="4971241E"/>
    <w:rsid w:val="4A1775B4"/>
    <w:rsid w:val="4A2D437A"/>
    <w:rsid w:val="4A5C2802"/>
    <w:rsid w:val="4A8356EF"/>
    <w:rsid w:val="4AD975F0"/>
    <w:rsid w:val="4B1B446B"/>
    <w:rsid w:val="4B765B39"/>
    <w:rsid w:val="4BCE14DD"/>
    <w:rsid w:val="4BF90C50"/>
    <w:rsid w:val="4BFF5B3B"/>
    <w:rsid w:val="4C1A464A"/>
    <w:rsid w:val="4C7D53DD"/>
    <w:rsid w:val="4CD86AB8"/>
    <w:rsid w:val="4D302450"/>
    <w:rsid w:val="4D42685E"/>
    <w:rsid w:val="4D700A9E"/>
    <w:rsid w:val="4E4B32B9"/>
    <w:rsid w:val="4E4B5067"/>
    <w:rsid w:val="4E702D2A"/>
    <w:rsid w:val="4E9538D9"/>
    <w:rsid w:val="4E9F66BC"/>
    <w:rsid w:val="4EA50C1B"/>
    <w:rsid w:val="4EB41163"/>
    <w:rsid w:val="4EF041C9"/>
    <w:rsid w:val="4F195165"/>
    <w:rsid w:val="4FD60C7C"/>
    <w:rsid w:val="4FFE2BB8"/>
    <w:rsid w:val="50AF18DD"/>
    <w:rsid w:val="50CA6717"/>
    <w:rsid w:val="51023F61"/>
    <w:rsid w:val="513B7615"/>
    <w:rsid w:val="51422751"/>
    <w:rsid w:val="51E1640E"/>
    <w:rsid w:val="52304CA0"/>
    <w:rsid w:val="523A13C9"/>
    <w:rsid w:val="52816A8F"/>
    <w:rsid w:val="528F1931"/>
    <w:rsid w:val="52B72CCB"/>
    <w:rsid w:val="52E635B0"/>
    <w:rsid w:val="5334431C"/>
    <w:rsid w:val="53A476F3"/>
    <w:rsid w:val="53B11E10"/>
    <w:rsid w:val="53C64EC3"/>
    <w:rsid w:val="54152354"/>
    <w:rsid w:val="542563D3"/>
    <w:rsid w:val="54793C4B"/>
    <w:rsid w:val="54963851"/>
    <w:rsid w:val="54A92AE8"/>
    <w:rsid w:val="54D73AF9"/>
    <w:rsid w:val="54FF5FBA"/>
    <w:rsid w:val="557101D7"/>
    <w:rsid w:val="55BE4DEB"/>
    <w:rsid w:val="55D83ABF"/>
    <w:rsid w:val="56244B1C"/>
    <w:rsid w:val="56996FE3"/>
    <w:rsid w:val="56CE6835"/>
    <w:rsid w:val="570A1F63"/>
    <w:rsid w:val="572528F9"/>
    <w:rsid w:val="5756111B"/>
    <w:rsid w:val="57D0069B"/>
    <w:rsid w:val="58717181"/>
    <w:rsid w:val="589110F9"/>
    <w:rsid w:val="59984CFB"/>
    <w:rsid w:val="59B40BE0"/>
    <w:rsid w:val="59CD698B"/>
    <w:rsid w:val="59D6612D"/>
    <w:rsid w:val="5A210A43"/>
    <w:rsid w:val="5A3C1FE1"/>
    <w:rsid w:val="5A5A0B0C"/>
    <w:rsid w:val="5B4D0671"/>
    <w:rsid w:val="5B57504B"/>
    <w:rsid w:val="5B745BF3"/>
    <w:rsid w:val="5B8F4B59"/>
    <w:rsid w:val="5B9938B6"/>
    <w:rsid w:val="5C271CB6"/>
    <w:rsid w:val="5C277114"/>
    <w:rsid w:val="5C312D11"/>
    <w:rsid w:val="5C321615"/>
    <w:rsid w:val="5C98591B"/>
    <w:rsid w:val="5CC64F36"/>
    <w:rsid w:val="5CDA23D8"/>
    <w:rsid w:val="5CE943C9"/>
    <w:rsid w:val="5D25603C"/>
    <w:rsid w:val="5D5A427C"/>
    <w:rsid w:val="5DED7EE9"/>
    <w:rsid w:val="5E0C65C1"/>
    <w:rsid w:val="5E5F65F8"/>
    <w:rsid w:val="5E715CE6"/>
    <w:rsid w:val="5F9920D6"/>
    <w:rsid w:val="5F9F3465"/>
    <w:rsid w:val="5FA535FC"/>
    <w:rsid w:val="5FB54C17"/>
    <w:rsid w:val="5FBB029F"/>
    <w:rsid w:val="600A6B30"/>
    <w:rsid w:val="603C171C"/>
    <w:rsid w:val="605126C6"/>
    <w:rsid w:val="60E6759D"/>
    <w:rsid w:val="613D220F"/>
    <w:rsid w:val="617D3BF9"/>
    <w:rsid w:val="617D4A68"/>
    <w:rsid w:val="61923281"/>
    <w:rsid w:val="61F979FF"/>
    <w:rsid w:val="61FD2CA6"/>
    <w:rsid w:val="6238728F"/>
    <w:rsid w:val="62685D90"/>
    <w:rsid w:val="62B47326"/>
    <w:rsid w:val="63220635"/>
    <w:rsid w:val="6356208C"/>
    <w:rsid w:val="63840BF5"/>
    <w:rsid w:val="63D05E76"/>
    <w:rsid w:val="64346872"/>
    <w:rsid w:val="649C550C"/>
    <w:rsid w:val="64C51278"/>
    <w:rsid w:val="64DB198A"/>
    <w:rsid w:val="64DC36BB"/>
    <w:rsid w:val="64E2007C"/>
    <w:rsid w:val="653D52B2"/>
    <w:rsid w:val="6548225C"/>
    <w:rsid w:val="65505336"/>
    <w:rsid w:val="655A0B79"/>
    <w:rsid w:val="6622746E"/>
    <w:rsid w:val="664E34EF"/>
    <w:rsid w:val="66552ACF"/>
    <w:rsid w:val="66D25ECE"/>
    <w:rsid w:val="6786649E"/>
    <w:rsid w:val="67C021CA"/>
    <w:rsid w:val="684D4EE7"/>
    <w:rsid w:val="68E5720D"/>
    <w:rsid w:val="68F04F40"/>
    <w:rsid w:val="69336C29"/>
    <w:rsid w:val="697501C8"/>
    <w:rsid w:val="6AB23A6D"/>
    <w:rsid w:val="6AB8422D"/>
    <w:rsid w:val="6AFE1987"/>
    <w:rsid w:val="6B1D196A"/>
    <w:rsid w:val="6B272C8C"/>
    <w:rsid w:val="6B581429"/>
    <w:rsid w:val="6B787AA1"/>
    <w:rsid w:val="6B7E1C06"/>
    <w:rsid w:val="6BBF5909"/>
    <w:rsid w:val="6C0E5BFA"/>
    <w:rsid w:val="6C117498"/>
    <w:rsid w:val="6C152AE5"/>
    <w:rsid w:val="6C4663A0"/>
    <w:rsid w:val="6C4B5929"/>
    <w:rsid w:val="6CD37A32"/>
    <w:rsid w:val="6D231231"/>
    <w:rsid w:val="6D4572EA"/>
    <w:rsid w:val="6E3631E6"/>
    <w:rsid w:val="6E625D2C"/>
    <w:rsid w:val="6E656DBE"/>
    <w:rsid w:val="6E6C4F7B"/>
    <w:rsid w:val="6EE964AB"/>
    <w:rsid w:val="6F06705D"/>
    <w:rsid w:val="6F20011E"/>
    <w:rsid w:val="6FC52A74"/>
    <w:rsid w:val="701B08E6"/>
    <w:rsid w:val="7056191E"/>
    <w:rsid w:val="70AE175A"/>
    <w:rsid w:val="71427771"/>
    <w:rsid w:val="717300E1"/>
    <w:rsid w:val="71D461ED"/>
    <w:rsid w:val="71F83C19"/>
    <w:rsid w:val="720A084D"/>
    <w:rsid w:val="72190E55"/>
    <w:rsid w:val="72343EE1"/>
    <w:rsid w:val="724E4C1F"/>
    <w:rsid w:val="724F2F64"/>
    <w:rsid w:val="72D826AB"/>
    <w:rsid w:val="72FF69FA"/>
    <w:rsid w:val="73506AF8"/>
    <w:rsid w:val="73722F12"/>
    <w:rsid w:val="73E3171A"/>
    <w:rsid w:val="73F3692B"/>
    <w:rsid w:val="74654825"/>
    <w:rsid w:val="747862DF"/>
    <w:rsid w:val="74967B10"/>
    <w:rsid w:val="749F0C22"/>
    <w:rsid w:val="74A23383"/>
    <w:rsid w:val="74D62632"/>
    <w:rsid w:val="74EC0A46"/>
    <w:rsid w:val="751E6391"/>
    <w:rsid w:val="75C31803"/>
    <w:rsid w:val="760A557D"/>
    <w:rsid w:val="76793136"/>
    <w:rsid w:val="76C10625"/>
    <w:rsid w:val="76C563C9"/>
    <w:rsid w:val="76EA1C72"/>
    <w:rsid w:val="77447586"/>
    <w:rsid w:val="776D06C7"/>
    <w:rsid w:val="779805B8"/>
    <w:rsid w:val="77F66977"/>
    <w:rsid w:val="780E5940"/>
    <w:rsid w:val="78823D66"/>
    <w:rsid w:val="78A601F9"/>
    <w:rsid w:val="79A61220"/>
    <w:rsid w:val="79DD67B7"/>
    <w:rsid w:val="7A135D0A"/>
    <w:rsid w:val="7A227FBC"/>
    <w:rsid w:val="7A5C5D83"/>
    <w:rsid w:val="7A6D1D3E"/>
    <w:rsid w:val="7AC65B66"/>
    <w:rsid w:val="7B1923D2"/>
    <w:rsid w:val="7B2E771F"/>
    <w:rsid w:val="7B314111"/>
    <w:rsid w:val="7B3F192C"/>
    <w:rsid w:val="7B761946"/>
    <w:rsid w:val="7BB427A9"/>
    <w:rsid w:val="7BB429EB"/>
    <w:rsid w:val="7BB87930"/>
    <w:rsid w:val="7BDC717B"/>
    <w:rsid w:val="7BE3444B"/>
    <w:rsid w:val="7BE73D72"/>
    <w:rsid w:val="7BF04E26"/>
    <w:rsid w:val="7C6F5597"/>
    <w:rsid w:val="7C9625A6"/>
    <w:rsid w:val="7CBB3234"/>
    <w:rsid w:val="7CBB3826"/>
    <w:rsid w:val="7CD12A58"/>
    <w:rsid w:val="7D1B0177"/>
    <w:rsid w:val="7D432A8D"/>
    <w:rsid w:val="7D7E4262"/>
    <w:rsid w:val="7D8E32DB"/>
    <w:rsid w:val="7D9D4A3A"/>
    <w:rsid w:val="7DFB4405"/>
    <w:rsid w:val="7EEE75E6"/>
    <w:rsid w:val="7F2723ED"/>
    <w:rsid w:val="7F364DF4"/>
    <w:rsid w:val="7F8A15E4"/>
    <w:rsid w:val="7F963AE5"/>
    <w:rsid w:val="C3F75E9D"/>
    <w:rsid w:val="DFBFEF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Times New Roman" w:hAnsi="Times New Roman" w:eastAsia="Arial" w:cs="Times New Roman"/>
      <w:snapToGrid w:val="0"/>
      <w:color w:val="000000"/>
      <w:sz w:val="21"/>
      <w:szCs w:val="21"/>
      <w:lang w:val="en-US" w:eastAsia="en-US" w:bidi="ar-SA"/>
    </w:rPr>
  </w:style>
  <w:style w:type="paragraph" w:styleId="5">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6">
    <w:name w:val="heading 2"/>
    <w:basedOn w:val="1"/>
    <w:next w:val="1"/>
    <w:qFormat/>
    <w:uiPriority w:val="0"/>
    <w:pPr>
      <w:spacing w:beforeAutospacing="1" w:afterAutospacing="1"/>
      <w:jc w:val="left"/>
      <w:outlineLvl w:val="1"/>
    </w:pPr>
    <w:rPr>
      <w:rFonts w:ascii="宋体" w:hAnsi="宋体"/>
      <w:b/>
      <w:kern w:val="0"/>
      <w:sz w:val="36"/>
      <w:szCs w:val="36"/>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0"/>
    <w:pPr>
      <w:ind w:firstLine="420" w:firstLineChars="200"/>
    </w:pPr>
    <w:rPr>
      <w:rFonts w:eastAsia="仿宋"/>
      <w:sz w:val="32"/>
    </w:rPr>
  </w:style>
  <w:style w:type="paragraph" w:styleId="3">
    <w:name w:val="Body Text"/>
    <w:basedOn w:val="1"/>
    <w:next w:val="4"/>
    <w:qFormat/>
    <w:uiPriority w:val="0"/>
    <w:pPr>
      <w:spacing w:after="120"/>
    </w:pPr>
    <w:rPr>
      <w:rFonts w:ascii="Calibri" w:hAnsi="Calibri" w:eastAsia="宋体" w:cs="Times New Roman"/>
    </w:rPr>
  </w:style>
  <w:style w:type="paragraph" w:customStyle="1" w:styleId="4">
    <w:name w:val="_Style 7"/>
    <w:basedOn w:val="1"/>
    <w:next w:val="1"/>
    <w:qFormat/>
    <w:uiPriority w:val="0"/>
    <w:rPr>
      <w:rFonts w:ascii="等线" w:hAnsi="等线" w:eastAsia="等线" w:cs="宋体"/>
      <w:i/>
      <w:iCs/>
      <w:color w:val="000000"/>
      <w:sz w:val="21"/>
      <w:szCs w:val="22"/>
    </w:rPr>
  </w:style>
  <w:style w:type="paragraph" w:styleId="7">
    <w:name w:val="Body Text Indent"/>
    <w:unhideWhenUsed/>
    <w:qFormat/>
    <w:uiPriority w:val="99"/>
    <w:pPr>
      <w:widowControl w:val="0"/>
      <w:spacing w:after="120"/>
      <w:ind w:left="420" w:leftChars="200"/>
      <w:jc w:val="both"/>
    </w:pPr>
    <w:rPr>
      <w:rFonts w:ascii="等线" w:hAnsi="等线" w:eastAsia="等线" w:cs="Times New Roman"/>
      <w:kern w:val="2"/>
      <w:sz w:val="21"/>
      <w:szCs w:val="22"/>
      <w:lang w:val="en-US" w:eastAsia="zh-CN" w:bidi="ar-SA"/>
    </w:rPr>
  </w:style>
  <w:style w:type="paragraph" w:styleId="8">
    <w:name w:val="Body Text Indent 2"/>
    <w:basedOn w:val="1"/>
    <w:next w:val="1"/>
    <w:unhideWhenUsed/>
    <w:qFormat/>
    <w:uiPriority w:val="99"/>
    <w:pPr>
      <w:ind w:firstLine="640" w:firstLineChars="200"/>
    </w:pPr>
    <w:rPr>
      <w:rFonts w:ascii="Calibri" w:hAnsi="Calibri"/>
      <w:sz w:val="32"/>
    </w:rPr>
  </w:style>
  <w:style w:type="paragraph" w:styleId="9">
    <w:name w:val="footer"/>
    <w:basedOn w:val="1"/>
    <w:link w:val="18"/>
    <w:qFormat/>
    <w:uiPriority w:val="0"/>
    <w:pPr>
      <w:tabs>
        <w:tab w:val="center" w:pos="4153"/>
        <w:tab w:val="right" w:pos="8306"/>
      </w:tabs>
      <w:snapToGrid w:val="0"/>
      <w:jc w:val="left"/>
    </w:pPr>
    <w:rPr>
      <w:sz w:val="18"/>
      <w:szCs w:val="18"/>
    </w:rPr>
  </w:style>
  <w:style w:type="paragraph" w:styleId="10">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paragraph" w:styleId="12">
    <w:name w:val="Body Text First Indent"/>
    <w:basedOn w:val="3"/>
    <w:qFormat/>
    <w:uiPriority w:val="99"/>
    <w:pPr>
      <w:spacing w:before="40" w:after="40" w:line="600" w:lineRule="exact"/>
      <w:ind w:firstLine="420"/>
    </w:pPr>
    <w:rPr>
      <w:rFonts w:ascii="Times New Roman" w:hAnsi="Times New Roman"/>
      <w:b/>
      <w:bCs/>
      <w:sz w:val="30"/>
      <w:szCs w:val="30"/>
    </w:rPr>
  </w:style>
  <w:style w:type="paragraph" w:styleId="13">
    <w:name w:val="Body Text First Indent 2"/>
    <w:next w:val="7"/>
    <w:unhideWhenUsed/>
    <w:qFormat/>
    <w:uiPriority w:val="99"/>
    <w:pPr>
      <w:widowControl w:val="0"/>
      <w:spacing w:after="120"/>
      <w:ind w:left="420" w:leftChars="200" w:firstLine="420" w:firstLineChars="200"/>
      <w:jc w:val="both"/>
    </w:pPr>
    <w:rPr>
      <w:rFonts w:ascii="Calibri" w:hAnsi="Calibri" w:eastAsia="宋体" w:cs="Times New Roman"/>
      <w:kern w:val="2"/>
      <w:sz w:val="21"/>
      <w:szCs w:val="24"/>
      <w:lang w:val="en-US" w:eastAsia="zh-CN" w:bidi="ar-SA"/>
    </w:rPr>
  </w:style>
  <w:style w:type="character" w:styleId="16">
    <w:name w:val="Strong"/>
    <w:basedOn w:val="15"/>
    <w:qFormat/>
    <w:uiPriority w:val="0"/>
    <w:rPr>
      <w:b/>
    </w:rPr>
  </w:style>
  <w:style w:type="character" w:customStyle="1" w:styleId="17">
    <w:name w:val="页眉 Char"/>
    <w:basedOn w:val="15"/>
    <w:link w:val="10"/>
    <w:qFormat/>
    <w:uiPriority w:val="0"/>
    <w:rPr>
      <w:rFonts w:asciiTheme="minorHAnsi" w:hAnsiTheme="minorHAnsi" w:eastAsiaTheme="minorEastAsia" w:cstheme="minorBidi"/>
      <w:kern w:val="2"/>
      <w:sz w:val="18"/>
      <w:szCs w:val="18"/>
    </w:rPr>
  </w:style>
  <w:style w:type="character" w:customStyle="1" w:styleId="18">
    <w:name w:val="页脚 Char"/>
    <w:basedOn w:val="15"/>
    <w:link w:val="9"/>
    <w:qFormat/>
    <w:uiPriority w:val="0"/>
    <w:rPr>
      <w:rFonts w:asciiTheme="minorHAnsi" w:hAnsiTheme="minorHAnsi" w:eastAsiaTheme="minorEastAsia" w:cstheme="minorBidi"/>
      <w:kern w:val="2"/>
      <w:sz w:val="18"/>
      <w:szCs w:val="18"/>
    </w:rPr>
  </w:style>
  <w:style w:type="character" w:customStyle="1" w:styleId="19">
    <w:name w:val="Body text|2_"/>
    <w:basedOn w:val="15"/>
    <w:link w:val="20"/>
    <w:qFormat/>
    <w:locked/>
    <w:uiPriority w:val="0"/>
    <w:rPr>
      <w:rFonts w:ascii="宋体" w:hAnsi="宋体" w:eastAsia="宋体" w:cs="宋体"/>
      <w:color w:val="000000"/>
      <w:sz w:val="42"/>
      <w:szCs w:val="42"/>
      <w:lang w:val="zh-TW" w:eastAsia="zh-TW" w:bidi="zh-TW"/>
    </w:rPr>
  </w:style>
  <w:style w:type="paragraph" w:customStyle="1" w:styleId="20">
    <w:name w:val="Body text|2"/>
    <w:basedOn w:val="1"/>
    <w:link w:val="19"/>
    <w:qFormat/>
    <w:uiPriority w:val="0"/>
    <w:pPr>
      <w:spacing w:line="768" w:lineRule="exact"/>
      <w:jc w:val="center"/>
    </w:pPr>
    <w:rPr>
      <w:rFonts w:ascii="宋体" w:hAnsi="宋体" w:eastAsia="宋体" w:cs="宋体"/>
      <w:color w:val="000000"/>
      <w:sz w:val="42"/>
      <w:szCs w:val="42"/>
      <w:lang w:val="zh-TW" w:eastAsia="zh-TW" w:bidi="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12553</Words>
  <Characters>12750</Characters>
  <Lines>17</Lines>
  <Paragraphs>4</Paragraphs>
  <TotalTime>258</TotalTime>
  <ScaleCrop>false</ScaleCrop>
  <LinksUpToDate>false</LinksUpToDate>
  <CharactersWithSpaces>12770</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2021-10-24T23:51:00Z</dcterms:created>
  <dc:creator>zhk</dc:creator>
  <cp:lastModifiedBy>user</cp:lastModifiedBy>
  <cp:lastPrinted>2024-02-23T22:51:00Z</cp:lastPrinted>
  <dcterms:modified xsi:type="dcterms:W3CDTF">2024-11-28T08:50:34Z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KSOSaveFontToCloudKey">
    <vt:lpwstr>702494372_btnclosed</vt:lpwstr>
  </property>
  <property fmtid="{D5CDD505-2E9C-101B-9397-08002B2CF9AE}" pid="4" name="ICV">
    <vt:lpwstr>6AB108E1C7EF42BEB88A46A98DDD9558_13</vt:lpwstr>
  </property>
</Properties>
</file>