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napToGrid w:val="0"/>
        <w:spacing w:before="468" w:beforeLines="150" w:line="560" w:lineRule="atLeast"/>
        <w:jc w:val="center"/>
        <w:rPr>
          <w:rFonts w:eastAsia="华文中宋"/>
          <w:b/>
          <w:color w:val="auto"/>
          <w:kern w:val="0"/>
          <w:sz w:val="44"/>
          <w:szCs w:val="44"/>
          <w:highlight w:val="none"/>
        </w:rPr>
      </w:pPr>
      <w:r>
        <w:rPr>
          <w:rFonts w:hint="eastAsia" w:ascii="方正小标宋简体" w:eastAsia="方正小标宋简体"/>
          <w:color w:val="auto"/>
          <w:spacing w:val="40"/>
          <w:w w:val="90"/>
          <w:sz w:val="90"/>
          <w:szCs w:val="90"/>
          <w:highlight w:val="none"/>
        </w:rPr>
        <w:t xml:space="preserve"> </w:t>
      </w:r>
      <w:r>
        <w:rPr>
          <w:rFonts w:hint="eastAsia" w:eastAsia="华文中宋"/>
          <w:b/>
          <w:color w:val="auto"/>
          <w:kern w:val="0"/>
          <w:sz w:val="44"/>
          <w:szCs w:val="44"/>
          <w:highlight w:val="none"/>
          <w:lang w:eastAsia="zh-CN"/>
        </w:rPr>
        <w:t>亳州市</w:t>
      </w:r>
      <w:r>
        <w:rPr>
          <w:rFonts w:eastAsia="华文中宋"/>
          <w:b/>
          <w:color w:val="auto"/>
          <w:kern w:val="0"/>
          <w:sz w:val="44"/>
          <w:szCs w:val="44"/>
          <w:highlight w:val="none"/>
        </w:rPr>
        <w:t>安全生产“十四五”规划</w:t>
      </w:r>
    </w:p>
    <w:p>
      <w:pPr>
        <w:widowControl/>
        <w:shd w:val="clear" w:color="auto" w:fill="FFFFFF"/>
        <w:snapToGrid w:val="0"/>
        <w:spacing w:line="560" w:lineRule="atLeast"/>
        <w:jc w:val="center"/>
        <w:rPr>
          <w:rFonts w:eastAsia="楷体_GB2312"/>
          <w:bCs/>
          <w:color w:val="auto"/>
          <w:kern w:val="0"/>
          <w:sz w:val="30"/>
          <w:szCs w:val="30"/>
          <w:highlight w:val="none"/>
        </w:rPr>
      </w:pPr>
      <w:r>
        <w:rPr>
          <w:rFonts w:eastAsia="楷体_GB2312"/>
          <w:bCs/>
          <w:color w:val="auto"/>
          <w:kern w:val="0"/>
          <w:sz w:val="30"/>
          <w:szCs w:val="30"/>
          <w:highlight w:val="none"/>
        </w:rPr>
        <w:t>（</w:t>
      </w:r>
      <w:r>
        <w:rPr>
          <w:rFonts w:hint="eastAsia" w:eastAsia="楷体_GB2312"/>
          <w:bCs/>
          <w:color w:val="auto"/>
          <w:kern w:val="0"/>
          <w:sz w:val="30"/>
          <w:szCs w:val="30"/>
          <w:highlight w:val="none"/>
        </w:rPr>
        <w:t>征求意见</w:t>
      </w:r>
      <w:r>
        <w:rPr>
          <w:rFonts w:eastAsia="楷体_GB2312"/>
          <w:bCs/>
          <w:color w:val="auto"/>
          <w:kern w:val="0"/>
          <w:sz w:val="30"/>
          <w:szCs w:val="30"/>
          <w:highlight w:val="none"/>
        </w:rPr>
        <w:t>稿）</w:t>
      </w:r>
    </w:p>
    <w:p>
      <w:pPr>
        <w:rPr>
          <w:rFonts w:eastAsia="仿宋_GB2312"/>
          <w:color w:val="auto"/>
          <w:sz w:val="32"/>
          <w:szCs w:val="32"/>
          <w:highlight w:val="none"/>
        </w:rPr>
      </w:pPr>
    </w:p>
    <w:p>
      <w:pPr>
        <w:rPr>
          <w:rFonts w:eastAsia="仿宋_GB2312"/>
          <w:color w:val="auto"/>
          <w:sz w:val="32"/>
          <w:szCs w:val="32"/>
          <w:highlight w:val="none"/>
        </w:rPr>
      </w:pPr>
    </w:p>
    <w:p>
      <w:pPr>
        <w:rPr>
          <w:rFonts w:eastAsia="仿宋_GB2312"/>
          <w:color w:val="auto"/>
          <w:sz w:val="32"/>
          <w:szCs w:val="32"/>
          <w:highlight w:val="none"/>
        </w:rPr>
      </w:pPr>
    </w:p>
    <w:p>
      <w:pPr>
        <w:rPr>
          <w:rFonts w:eastAsia="仿宋_GB2312"/>
          <w:color w:val="auto"/>
          <w:sz w:val="32"/>
          <w:szCs w:val="32"/>
          <w:highlight w:val="none"/>
        </w:rPr>
      </w:pPr>
    </w:p>
    <w:p>
      <w:pPr>
        <w:rPr>
          <w:rFonts w:eastAsia="仿宋_GB2312"/>
          <w:color w:val="auto"/>
          <w:sz w:val="32"/>
          <w:szCs w:val="32"/>
          <w:highlight w:val="none"/>
        </w:rPr>
      </w:pPr>
    </w:p>
    <w:p>
      <w:pPr>
        <w:rPr>
          <w:rFonts w:eastAsia="仿宋_GB2312"/>
          <w:color w:val="auto"/>
          <w:sz w:val="32"/>
          <w:szCs w:val="32"/>
          <w:highlight w:val="none"/>
        </w:rPr>
      </w:pPr>
    </w:p>
    <w:p>
      <w:pPr>
        <w:rPr>
          <w:rFonts w:eastAsia="仿宋_GB2312"/>
          <w:color w:val="auto"/>
          <w:sz w:val="32"/>
          <w:szCs w:val="32"/>
          <w:highlight w:val="none"/>
        </w:rPr>
      </w:pPr>
    </w:p>
    <w:p>
      <w:pPr>
        <w:rPr>
          <w:rFonts w:eastAsia="仿宋_GB2312"/>
          <w:color w:val="auto"/>
          <w:sz w:val="32"/>
          <w:szCs w:val="32"/>
          <w:highlight w:val="none"/>
        </w:rPr>
      </w:pPr>
    </w:p>
    <w:p>
      <w:pPr>
        <w:rPr>
          <w:rFonts w:eastAsia="仿宋_GB2312"/>
          <w:color w:val="auto"/>
          <w:sz w:val="32"/>
          <w:szCs w:val="32"/>
          <w:highlight w:val="none"/>
        </w:rPr>
      </w:pPr>
    </w:p>
    <w:p>
      <w:pPr>
        <w:rPr>
          <w:rFonts w:eastAsia="仿宋_GB2312"/>
          <w:color w:val="auto"/>
          <w:sz w:val="32"/>
          <w:szCs w:val="32"/>
          <w:highlight w:val="none"/>
        </w:rPr>
      </w:pPr>
    </w:p>
    <w:p>
      <w:pPr>
        <w:rPr>
          <w:rFonts w:eastAsia="仿宋_GB2312"/>
          <w:color w:val="auto"/>
          <w:sz w:val="32"/>
          <w:szCs w:val="32"/>
          <w:highlight w:val="none"/>
        </w:rPr>
      </w:pPr>
    </w:p>
    <w:p>
      <w:pPr>
        <w:jc w:val="center"/>
        <w:rPr>
          <w:rFonts w:eastAsia="楷体_GB2312"/>
          <w:color w:val="auto"/>
          <w:sz w:val="32"/>
          <w:szCs w:val="32"/>
          <w:highlight w:val="none"/>
        </w:rPr>
      </w:pPr>
      <w:r>
        <w:rPr>
          <w:rFonts w:hint="eastAsia" w:eastAsia="楷体_GB2312"/>
          <w:color w:val="auto"/>
          <w:sz w:val="32"/>
          <w:szCs w:val="32"/>
          <w:highlight w:val="none"/>
          <w:lang w:eastAsia="zh-CN"/>
        </w:rPr>
        <w:t>亳州市</w:t>
      </w:r>
      <w:r>
        <w:rPr>
          <w:rFonts w:hint="eastAsia" w:eastAsia="楷体_GB2312"/>
          <w:color w:val="auto"/>
          <w:sz w:val="32"/>
          <w:szCs w:val="32"/>
          <w:highlight w:val="none"/>
        </w:rPr>
        <w:t>安全生产委员会办公室</w:t>
      </w:r>
    </w:p>
    <w:p>
      <w:pPr>
        <w:jc w:val="center"/>
        <w:rPr>
          <w:rFonts w:eastAsia="楷体_GB2312"/>
          <w:color w:val="auto"/>
          <w:sz w:val="32"/>
          <w:szCs w:val="32"/>
          <w:highlight w:val="none"/>
        </w:rPr>
      </w:pPr>
      <w:r>
        <w:rPr>
          <w:rFonts w:eastAsia="楷体_GB2312"/>
          <w:color w:val="auto"/>
          <w:sz w:val="32"/>
          <w:szCs w:val="32"/>
          <w:highlight w:val="none"/>
        </w:rPr>
        <w:t>2021年</w:t>
      </w:r>
      <w:r>
        <w:rPr>
          <w:rFonts w:hint="eastAsia" w:eastAsia="楷体_GB2312"/>
          <w:color w:val="auto"/>
          <w:sz w:val="32"/>
          <w:szCs w:val="32"/>
          <w:highlight w:val="none"/>
          <w:lang w:val="en-US" w:eastAsia="zh-CN"/>
        </w:rPr>
        <w:t>11</w:t>
      </w:r>
      <w:r>
        <w:rPr>
          <w:rFonts w:eastAsia="楷体_GB2312"/>
          <w:color w:val="auto"/>
          <w:sz w:val="32"/>
          <w:szCs w:val="32"/>
          <w:highlight w:val="none"/>
        </w:rPr>
        <w:t>月</w:t>
      </w:r>
    </w:p>
    <w:p>
      <w:pPr>
        <w:rPr>
          <w:rFonts w:eastAsia="仿宋_GB2312"/>
          <w:color w:val="auto"/>
          <w:sz w:val="32"/>
          <w:szCs w:val="32"/>
          <w:highlight w:val="none"/>
        </w:rPr>
        <w:sectPr>
          <w:footerReference r:id="rId3" w:type="default"/>
          <w:pgSz w:w="11906" w:h="16838"/>
          <w:pgMar w:top="2098" w:right="1474" w:bottom="1814" w:left="1588" w:header="851" w:footer="1418" w:gutter="0"/>
          <w:cols w:space="720" w:num="1"/>
          <w:titlePg/>
          <w:docGrid w:type="lines" w:linePitch="312" w:charSpace="0"/>
        </w:sectPr>
      </w:pPr>
    </w:p>
    <w:p>
      <w:pPr>
        <w:spacing w:line="600" w:lineRule="exact"/>
        <w:jc w:val="both"/>
        <w:rPr>
          <w:rFonts w:hint="eastAsia" w:ascii="方正小标宋简体" w:hAnsi="华文中宋" w:eastAsia="方正小标宋简体"/>
          <w:color w:val="auto"/>
          <w:sz w:val="44"/>
          <w:szCs w:val="44"/>
          <w:highlight w:val="none"/>
        </w:rPr>
      </w:pPr>
      <w:bookmarkStart w:id="0" w:name="_Toc48920557"/>
      <w:r>
        <w:rPr>
          <w:rFonts w:hint="eastAsia" w:ascii="方正小标宋简体" w:hAnsi="华文中宋" w:eastAsia="方正小标宋简体" w:cs="Times New Roman"/>
          <w:color w:val="auto"/>
          <w:sz w:val="44"/>
          <w:szCs w:val="44"/>
          <w:highlight w:val="none"/>
          <w:lang w:eastAsia="zh-CN"/>
        </w:rPr>
        <w:t>亳州市</w:t>
      </w:r>
      <w:r>
        <w:rPr>
          <w:rFonts w:hint="eastAsia" w:ascii="方正小标宋简体" w:hAnsi="华文中宋" w:eastAsia="方正小标宋简体"/>
          <w:color w:val="auto"/>
          <w:sz w:val="44"/>
          <w:szCs w:val="44"/>
          <w:highlight w:val="none"/>
        </w:rPr>
        <w:t>安全生产“十四五”规划（征求意见稿）</w:t>
      </w:r>
    </w:p>
    <w:p>
      <w:pPr>
        <w:spacing w:line="560" w:lineRule="exact"/>
        <w:ind w:firstLine="640" w:firstLineChars="200"/>
        <w:rPr>
          <w:rFonts w:eastAsia="仿宋_GB2312"/>
          <w:color w:val="auto"/>
          <w:sz w:val="32"/>
          <w:szCs w:val="32"/>
          <w:highlight w:val="none"/>
        </w:rPr>
      </w:pPr>
      <w:r>
        <w:rPr>
          <w:rFonts w:eastAsia="仿宋_GB2312"/>
          <w:color w:val="auto"/>
          <w:sz w:val="32"/>
          <w:szCs w:val="32"/>
          <w:highlight w:val="none"/>
        </w:rPr>
        <w:t>为认真贯彻中央和省委、省政府</w:t>
      </w:r>
      <w:r>
        <w:rPr>
          <w:rFonts w:hint="eastAsia" w:eastAsia="仿宋_GB2312"/>
          <w:color w:val="auto"/>
          <w:sz w:val="32"/>
          <w:szCs w:val="32"/>
          <w:highlight w:val="none"/>
          <w:lang w:eastAsia="zh-CN"/>
        </w:rPr>
        <w:t>及市委、市政府</w:t>
      </w:r>
      <w:r>
        <w:rPr>
          <w:rFonts w:eastAsia="仿宋_GB2312"/>
          <w:color w:val="auto"/>
          <w:sz w:val="32"/>
          <w:szCs w:val="32"/>
          <w:highlight w:val="none"/>
        </w:rPr>
        <w:t>关于安全生产工作总体部署和要求，根据国家《安全生产“十四五”规划》和《</w:t>
      </w:r>
      <w:r>
        <w:rPr>
          <w:rFonts w:hint="eastAsia" w:eastAsia="仿宋_GB2312"/>
          <w:color w:val="auto"/>
          <w:sz w:val="32"/>
          <w:szCs w:val="32"/>
          <w:highlight w:val="none"/>
          <w:lang w:eastAsia="zh-CN"/>
        </w:rPr>
        <w:t>亳州市</w:t>
      </w:r>
      <w:r>
        <w:rPr>
          <w:rFonts w:eastAsia="仿宋_GB2312"/>
          <w:color w:val="auto"/>
          <w:sz w:val="32"/>
          <w:szCs w:val="32"/>
          <w:highlight w:val="none"/>
        </w:rPr>
        <w:t>国民经济和社会发展第十四个五年规划纲要》，制定本规划。</w:t>
      </w:r>
    </w:p>
    <w:p>
      <w:pPr>
        <w:pStyle w:val="3"/>
        <w:spacing w:before="0" w:after="0" w:line="560" w:lineRule="exact"/>
        <w:ind w:firstLine="640" w:firstLineChars="200"/>
        <w:rPr>
          <w:rFonts w:ascii="Times New Roman" w:hAnsi="Times New Roman" w:eastAsia="黑体"/>
          <w:b w:val="0"/>
          <w:bCs w:val="0"/>
          <w:color w:val="auto"/>
          <w:sz w:val="32"/>
          <w:szCs w:val="32"/>
          <w:highlight w:val="none"/>
        </w:rPr>
      </w:pPr>
      <w:r>
        <w:rPr>
          <w:rFonts w:ascii="Times New Roman" w:hAnsi="Times New Roman" w:eastAsia="黑体"/>
          <w:b w:val="0"/>
          <w:bCs w:val="0"/>
          <w:color w:val="auto"/>
          <w:sz w:val="32"/>
          <w:szCs w:val="32"/>
          <w:highlight w:val="none"/>
        </w:rPr>
        <w:t>一、现状与形势</w:t>
      </w:r>
      <w:bookmarkEnd w:id="0"/>
    </w:p>
    <w:p>
      <w:pPr>
        <w:pStyle w:val="4"/>
        <w:spacing w:before="0" w:after="0" w:line="560" w:lineRule="exact"/>
        <w:ind w:firstLine="642" w:firstLineChars="200"/>
        <w:rPr>
          <w:rFonts w:ascii="Times New Roman" w:hAnsi="Times New Roman" w:eastAsia="楷体_GB2312"/>
          <w:color w:val="auto"/>
          <w:highlight w:val="none"/>
        </w:rPr>
      </w:pPr>
      <w:bookmarkStart w:id="1" w:name="_Toc48920558"/>
      <w:r>
        <w:rPr>
          <w:rFonts w:ascii="Times New Roman" w:hAnsi="Times New Roman" w:eastAsia="楷体_GB2312"/>
          <w:color w:val="auto"/>
          <w:highlight w:val="none"/>
        </w:rPr>
        <w:t>（一）“十三五”期间进展与成效</w:t>
      </w:r>
      <w:bookmarkEnd w:id="1"/>
    </w:p>
    <w:p>
      <w:pPr>
        <w:spacing w:line="560" w:lineRule="exact"/>
        <w:ind w:firstLine="640" w:firstLineChars="200"/>
        <w:rPr>
          <w:rFonts w:eastAsia="仿宋_GB2312"/>
          <w:color w:val="auto"/>
          <w:sz w:val="32"/>
          <w:szCs w:val="32"/>
          <w:highlight w:val="none"/>
        </w:rPr>
      </w:pPr>
      <w:r>
        <w:rPr>
          <w:rFonts w:hint="eastAsia" w:eastAsia="仿宋_GB2312"/>
          <w:color w:val="auto"/>
          <w:sz w:val="32"/>
          <w:szCs w:val="32"/>
          <w:highlight w:val="none"/>
          <w:lang w:eastAsia="zh-CN"/>
        </w:rPr>
        <w:t>市</w:t>
      </w:r>
      <w:r>
        <w:rPr>
          <w:rFonts w:eastAsia="仿宋_GB2312"/>
          <w:color w:val="auto"/>
          <w:sz w:val="32"/>
          <w:szCs w:val="32"/>
          <w:highlight w:val="none"/>
        </w:rPr>
        <w:t>委、</w:t>
      </w:r>
      <w:r>
        <w:rPr>
          <w:rFonts w:hint="eastAsia" w:eastAsia="仿宋_GB2312"/>
          <w:color w:val="auto"/>
          <w:sz w:val="32"/>
          <w:szCs w:val="32"/>
          <w:highlight w:val="none"/>
          <w:lang w:eastAsia="zh-CN"/>
        </w:rPr>
        <w:t>市</w:t>
      </w:r>
      <w:r>
        <w:rPr>
          <w:rFonts w:eastAsia="仿宋_GB2312"/>
          <w:color w:val="auto"/>
          <w:sz w:val="32"/>
          <w:szCs w:val="32"/>
          <w:highlight w:val="none"/>
        </w:rPr>
        <w:t>政府高度重视安全生产工作，把贯彻落实习近平总书记关于安全生产的重要指示精神，作为安全生产领域增强“四个意识”、坚定“四个自信”、做到“两个维护”的重要举措，坚定不移地贯彻安全发展理念，强化红线意识和底线思维，不断加强对安全生产工作的领导，统筹推进安全生产领域改革与机构改革，始终把安全生产工作纳入各级政府工作重点、政府目标管理考核体系、经济社会发展规划的重要内容，认真落实安全生产工作“一票否决”制度，按照“党政同责、一岗双责、齐抓共管、失职追责”的要求，以</w:t>
      </w:r>
      <w:r>
        <w:rPr>
          <w:rFonts w:hint="eastAsia" w:eastAsia="仿宋_GB2312"/>
          <w:color w:val="auto"/>
          <w:sz w:val="32"/>
          <w:szCs w:val="32"/>
          <w:highlight w:val="none"/>
          <w:lang w:eastAsia="zh-CN"/>
        </w:rPr>
        <w:t>市</w:t>
      </w:r>
      <w:r>
        <w:rPr>
          <w:rFonts w:eastAsia="仿宋_GB2312"/>
          <w:color w:val="auto"/>
          <w:sz w:val="32"/>
          <w:szCs w:val="32"/>
          <w:highlight w:val="none"/>
        </w:rPr>
        <w:t>委、</w:t>
      </w:r>
      <w:r>
        <w:rPr>
          <w:rFonts w:hint="eastAsia" w:eastAsia="仿宋_GB2312"/>
          <w:color w:val="auto"/>
          <w:sz w:val="32"/>
          <w:szCs w:val="32"/>
          <w:highlight w:val="none"/>
          <w:lang w:eastAsia="zh-CN"/>
        </w:rPr>
        <w:t>市</w:t>
      </w:r>
      <w:r>
        <w:rPr>
          <w:rFonts w:eastAsia="仿宋_GB2312"/>
          <w:color w:val="auto"/>
          <w:sz w:val="32"/>
          <w:szCs w:val="32"/>
          <w:highlight w:val="none"/>
        </w:rPr>
        <w:t>政府名义印发了《关于安全生产领域改革发展的实施意见》，出台</w:t>
      </w:r>
      <w:r>
        <w:rPr>
          <w:rFonts w:hint="eastAsia" w:eastAsia="仿宋_GB2312"/>
          <w:color w:val="auto"/>
          <w:sz w:val="32"/>
          <w:szCs w:val="32"/>
          <w:highlight w:val="none"/>
          <w:lang w:eastAsia="zh-CN"/>
        </w:rPr>
        <w:t>了</w:t>
      </w:r>
      <w:r>
        <w:rPr>
          <w:rFonts w:eastAsia="仿宋_GB2312"/>
          <w:color w:val="auto"/>
          <w:sz w:val="32"/>
          <w:szCs w:val="32"/>
          <w:highlight w:val="none"/>
        </w:rPr>
        <w:t>《党政领导干部安全生产责任制实施</w:t>
      </w:r>
      <w:r>
        <w:rPr>
          <w:rFonts w:hint="eastAsia" w:eastAsia="仿宋_GB2312"/>
          <w:color w:val="auto"/>
          <w:sz w:val="32"/>
          <w:szCs w:val="32"/>
          <w:highlight w:val="none"/>
          <w:lang w:eastAsia="zh-CN"/>
        </w:rPr>
        <w:t>办法</w:t>
      </w:r>
      <w:r>
        <w:rPr>
          <w:rFonts w:eastAsia="仿宋_GB2312"/>
          <w:color w:val="auto"/>
          <w:sz w:val="32"/>
          <w:szCs w:val="32"/>
          <w:highlight w:val="none"/>
        </w:rPr>
        <w:t>》，明确县级以上党委和政府领导班子成员安全生产责任；</w:t>
      </w:r>
      <w:r>
        <w:rPr>
          <w:rFonts w:hint="eastAsia" w:eastAsia="仿宋_GB2312"/>
          <w:color w:val="auto"/>
          <w:sz w:val="32"/>
          <w:szCs w:val="32"/>
          <w:highlight w:val="none"/>
          <w:lang w:eastAsia="zh-CN"/>
        </w:rPr>
        <w:t>市</w:t>
      </w:r>
      <w:r>
        <w:rPr>
          <w:rFonts w:eastAsia="仿宋_GB2312"/>
          <w:color w:val="auto"/>
          <w:sz w:val="32"/>
          <w:szCs w:val="32"/>
          <w:highlight w:val="none"/>
        </w:rPr>
        <w:t>政府安委会调整为</w:t>
      </w:r>
      <w:r>
        <w:rPr>
          <w:rFonts w:hint="eastAsia" w:eastAsia="仿宋_GB2312"/>
          <w:color w:val="auto"/>
          <w:sz w:val="32"/>
          <w:szCs w:val="32"/>
          <w:highlight w:val="none"/>
          <w:lang w:eastAsia="zh-CN"/>
        </w:rPr>
        <w:t>是</w:t>
      </w:r>
      <w:r>
        <w:rPr>
          <w:rFonts w:eastAsia="仿宋_GB2312"/>
          <w:color w:val="auto"/>
          <w:sz w:val="32"/>
          <w:szCs w:val="32"/>
          <w:highlight w:val="none"/>
        </w:rPr>
        <w:t>安委会，成立由</w:t>
      </w:r>
      <w:r>
        <w:rPr>
          <w:rFonts w:hint="eastAsia" w:eastAsia="仿宋_GB2312"/>
          <w:color w:val="auto"/>
          <w:sz w:val="32"/>
          <w:szCs w:val="32"/>
          <w:highlight w:val="none"/>
          <w:lang w:eastAsia="zh-CN"/>
        </w:rPr>
        <w:t>市</w:t>
      </w:r>
      <w:r>
        <w:rPr>
          <w:rFonts w:eastAsia="仿宋_GB2312"/>
          <w:color w:val="auto"/>
          <w:sz w:val="32"/>
          <w:szCs w:val="32"/>
          <w:highlight w:val="none"/>
        </w:rPr>
        <w:t>长任安委会主任、其他副</w:t>
      </w:r>
      <w:r>
        <w:rPr>
          <w:rFonts w:hint="eastAsia" w:eastAsia="仿宋_GB2312"/>
          <w:color w:val="auto"/>
          <w:sz w:val="32"/>
          <w:szCs w:val="32"/>
          <w:highlight w:val="none"/>
          <w:lang w:eastAsia="zh-CN"/>
        </w:rPr>
        <w:t>市</w:t>
      </w:r>
      <w:r>
        <w:rPr>
          <w:rFonts w:eastAsia="仿宋_GB2312"/>
          <w:color w:val="auto"/>
          <w:sz w:val="32"/>
          <w:szCs w:val="32"/>
          <w:highlight w:val="none"/>
        </w:rPr>
        <w:t>长任副主任的</w:t>
      </w:r>
      <w:r>
        <w:rPr>
          <w:rFonts w:hint="eastAsia" w:eastAsia="仿宋_GB2312"/>
          <w:color w:val="auto"/>
          <w:sz w:val="32"/>
          <w:szCs w:val="32"/>
          <w:highlight w:val="none"/>
          <w:lang w:eastAsia="zh-CN"/>
        </w:rPr>
        <w:t>市</w:t>
      </w:r>
      <w:r>
        <w:rPr>
          <w:rFonts w:eastAsia="仿宋_GB2312"/>
          <w:color w:val="auto"/>
          <w:sz w:val="32"/>
          <w:szCs w:val="32"/>
          <w:highlight w:val="none"/>
        </w:rPr>
        <w:t>安委会，组建1</w:t>
      </w:r>
      <w:r>
        <w:rPr>
          <w:rFonts w:hint="eastAsia" w:eastAsia="仿宋_GB2312"/>
          <w:color w:val="auto"/>
          <w:sz w:val="32"/>
          <w:szCs w:val="32"/>
          <w:highlight w:val="none"/>
          <w:lang w:val="en-US" w:eastAsia="zh-CN"/>
        </w:rPr>
        <w:t>5</w:t>
      </w:r>
      <w:r>
        <w:rPr>
          <w:rFonts w:eastAsia="仿宋_GB2312"/>
          <w:color w:val="auto"/>
          <w:sz w:val="32"/>
          <w:szCs w:val="32"/>
          <w:highlight w:val="none"/>
        </w:rPr>
        <w:t>个专项领导小组，党政同责、一岗双责、齐抓共管、失职追责的责体体系进一步明确；按照“管行业必须管安全、管业务必须管安全、管生产经营必须管安全”和“谁主管谁负责”原则，明确4类部门的监管责任；积极推进安全生产依法治理，完善安全生产规章制度和政策措施，健全安全监管体制机制，强化安全基础和监管能力建设。各地、各单位全面贯彻落实有关法律法规和省委、省政府</w:t>
      </w:r>
      <w:r>
        <w:rPr>
          <w:rFonts w:hint="eastAsia" w:eastAsia="仿宋_GB2312"/>
          <w:color w:val="auto"/>
          <w:sz w:val="32"/>
          <w:szCs w:val="32"/>
          <w:highlight w:val="none"/>
          <w:lang w:eastAsia="zh-CN"/>
        </w:rPr>
        <w:t>、市委、市政府</w:t>
      </w:r>
      <w:r>
        <w:rPr>
          <w:rFonts w:eastAsia="仿宋_GB2312"/>
          <w:color w:val="auto"/>
          <w:sz w:val="32"/>
          <w:szCs w:val="32"/>
          <w:highlight w:val="none"/>
        </w:rPr>
        <w:t>决策部署，扎实推进安全生产“铸安”行动常态化实效化和风险管控“六项机制”制度化规范化，大力实施“安全生产攻坚行动”、“1+</w:t>
      </w:r>
      <w:r>
        <w:rPr>
          <w:rFonts w:hint="eastAsia" w:eastAsia="仿宋_GB2312"/>
          <w:color w:val="auto"/>
          <w:sz w:val="32"/>
          <w:szCs w:val="32"/>
          <w:highlight w:val="none"/>
          <w:lang w:val="en-US" w:eastAsia="zh-CN"/>
        </w:rPr>
        <w:t>2</w:t>
      </w:r>
      <w:r>
        <w:rPr>
          <w:rFonts w:eastAsia="仿宋_GB2312"/>
          <w:color w:val="auto"/>
          <w:sz w:val="32"/>
          <w:szCs w:val="32"/>
          <w:highlight w:val="none"/>
        </w:rPr>
        <w:t>+</w:t>
      </w:r>
      <w:r>
        <w:rPr>
          <w:rFonts w:hint="eastAsia" w:eastAsia="仿宋_GB2312"/>
          <w:color w:val="auto"/>
          <w:sz w:val="32"/>
          <w:szCs w:val="32"/>
          <w:highlight w:val="none"/>
          <w:lang w:val="en-US" w:eastAsia="zh-CN"/>
        </w:rPr>
        <w:t>22</w:t>
      </w:r>
      <w:r>
        <w:rPr>
          <w:rFonts w:eastAsia="仿宋_GB2312"/>
          <w:color w:val="auto"/>
          <w:sz w:val="32"/>
          <w:szCs w:val="32"/>
          <w:highlight w:val="none"/>
        </w:rPr>
        <w:t>”安全生产专项整治三年行动，常抓严管的长效机制逐步建立，加强安全生产监督管理，持续推进安全生产隐患排查治理和重点行业领域专项整治，不断推进城市安全发展，安全预防控制体系明显优化。明确市县三级安全生产监督管理部门</w:t>
      </w:r>
      <w:r>
        <w:rPr>
          <w:rFonts w:eastAsia="仿宋_GB2312"/>
          <w:color w:val="auto"/>
          <w:spacing w:val="-6"/>
          <w:sz w:val="32"/>
          <w:szCs w:val="32"/>
          <w:highlight w:val="none"/>
        </w:rPr>
        <w:t>为行政执法机构，印发《</w:t>
      </w:r>
      <w:r>
        <w:rPr>
          <w:rFonts w:hint="eastAsia" w:eastAsia="仿宋_GB2312"/>
          <w:color w:val="auto"/>
          <w:spacing w:val="-6"/>
          <w:sz w:val="32"/>
          <w:szCs w:val="32"/>
          <w:highlight w:val="none"/>
          <w:lang w:eastAsia="zh-CN"/>
        </w:rPr>
        <w:t>亳州市</w:t>
      </w:r>
      <w:r>
        <w:rPr>
          <w:rFonts w:eastAsia="仿宋_GB2312"/>
          <w:color w:val="auto"/>
          <w:spacing w:val="-6"/>
          <w:sz w:val="32"/>
          <w:szCs w:val="32"/>
          <w:highlight w:val="none"/>
        </w:rPr>
        <w:t>安全生产举报奖励办法》，将12350安全生产举报电话接入社会公共管理服务平台，加大事故查处问责力</w:t>
      </w:r>
      <w:r>
        <w:rPr>
          <w:rFonts w:eastAsia="仿宋_GB2312"/>
          <w:color w:val="auto"/>
          <w:sz w:val="32"/>
          <w:szCs w:val="32"/>
          <w:highlight w:val="none"/>
        </w:rPr>
        <w:t>度，印发《</w:t>
      </w:r>
      <w:r>
        <w:rPr>
          <w:rFonts w:hint="eastAsia" w:eastAsia="仿宋_GB2312"/>
          <w:color w:val="auto"/>
          <w:sz w:val="32"/>
          <w:szCs w:val="32"/>
          <w:highlight w:val="none"/>
          <w:lang w:eastAsia="zh-CN"/>
        </w:rPr>
        <w:t>亳州市</w:t>
      </w:r>
      <w:r>
        <w:rPr>
          <w:rFonts w:eastAsia="仿宋_GB2312"/>
          <w:color w:val="auto"/>
          <w:sz w:val="32"/>
          <w:szCs w:val="32"/>
          <w:highlight w:val="none"/>
        </w:rPr>
        <w:t>安全生产“黑名单”管理暂行办法》，对安全生产领域失信行为开展联合惩戒，全</w:t>
      </w:r>
      <w:r>
        <w:rPr>
          <w:rFonts w:hint="eastAsia" w:eastAsia="仿宋_GB2312"/>
          <w:color w:val="auto"/>
          <w:sz w:val="32"/>
          <w:szCs w:val="32"/>
          <w:highlight w:val="none"/>
          <w:lang w:eastAsia="zh-CN"/>
        </w:rPr>
        <w:t>市</w:t>
      </w:r>
      <w:r>
        <w:rPr>
          <w:rFonts w:eastAsia="仿宋_GB2312"/>
          <w:color w:val="auto"/>
          <w:sz w:val="32"/>
          <w:szCs w:val="32"/>
          <w:highlight w:val="none"/>
        </w:rPr>
        <w:t>安全生产工作取得明显成效。</w:t>
      </w:r>
    </w:p>
    <w:p>
      <w:pPr>
        <w:spacing w:line="560" w:lineRule="exact"/>
        <w:ind w:firstLine="640" w:firstLineChars="200"/>
        <w:rPr>
          <w:rFonts w:eastAsia="仿宋_GB2312"/>
          <w:color w:val="auto"/>
          <w:sz w:val="32"/>
          <w:szCs w:val="32"/>
          <w:highlight w:val="none"/>
        </w:rPr>
      </w:pPr>
      <w:r>
        <w:rPr>
          <w:rFonts w:eastAsia="仿宋_GB2312"/>
          <w:color w:val="auto"/>
          <w:sz w:val="32"/>
          <w:szCs w:val="32"/>
          <w:highlight w:val="none"/>
        </w:rPr>
        <w:t>“十三五”期间，全</w:t>
      </w:r>
      <w:r>
        <w:rPr>
          <w:rFonts w:hint="eastAsia" w:eastAsia="仿宋_GB2312"/>
          <w:color w:val="auto"/>
          <w:sz w:val="32"/>
          <w:szCs w:val="32"/>
          <w:highlight w:val="none"/>
          <w:lang w:eastAsia="zh-CN"/>
        </w:rPr>
        <w:t>市</w:t>
      </w:r>
      <w:r>
        <w:rPr>
          <w:rFonts w:eastAsia="仿宋_GB2312"/>
          <w:color w:val="auto"/>
          <w:sz w:val="32"/>
          <w:szCs w:val="32"/>
          <w:highlight w:val="none"/>
        </w:rPr>
        <w:t>各类事故死亡</w:t>
      </w:r>
      <w:r>
        <w:rPr>
          <w:rFonts w:hint="eastAsia" w:eastAsia="仿宋_GB2312"/>
          <w:color w:val="auto"/>
          <w:sz w:val="32"/>
          <w:szCs w:val="32"/>
          <w:highlight w:val="none"/>
          <w:lang w:val="en-US" w:eastAsia="zh-CN"/>
        </w:rPr>
        <w:t>424</w:t>
      </w:r>
      <w:r>
        <w:rPr>
          <w:rFonts w:eastAsia="仿宋_GB2312"/>
          <w:color w:val="auto"/>
          <w:sz w:val="32"/>
          <w:szCs w:val="32"/>
          <w:highlight w:val="none"/>
        </w:rPr>
        <w:t>人，比“十二五”期间减少</w:t>
      </w:r>
      <w:r>
        <w:rPr>
          <w:rFonts w:hint="eastAsia" w:eastAsia="仿宋_GB2312"/>
          <w:color w:val="auto"/>
          <w:sz w:val="32"/>
          <w:szCs w:val="32"/>
          <w:highlight w:val="none"/>
          <w:lang w:val="en-US" w:eastAsia="zh-CN"/>
        </w:rPr>
        <w:t>819</w:t>
      </w:r>
      <w:r>
        <w:rPr>
          <w:rFonts w:eastAsia="仿宋_GB2312"/>
          <w:color w:val="auto"/>
          <w:sz w:val="32"/>
          <w:szCs w:val="32"/>
          <w:highlight w:val="none"/>
        </w:rPr>
        <w:t>人，下降</w:t>
      </w:r>
      <w:r>
        <w:rPr>
          <w:rFonts w:hint="eastAsia" w:eastAsia="仿宋_GB2312"/>
          <w:color w:val="auto"/>
          <w:sz w:val="32"/>
          <w:szCs w:val="32"/>
          <w:highlight w:val="none"/>
          <w:lang w:val="en-US" w:eastAsia="zh-CN"/>
        </w:rPr>
        <w:t>65.9</w:t>
      </w:r>
      <w:r>
        <w:rPr>
          <w:rFonts w:eastAsia="仿宋_GB2312"/>
          <w:color w:val="auto"/>
          <w:sz w:val="32"/>
          <w:szCs w:val="32"/>
          <w:highlight w:val="none"/>
        </w:rPr>
        <w:t>%；较大事故</w:t>
      </w:r>
      <w:r>
        <w:rPr>
          <w:rFonts w:hint="eastAsia" w:eastAsia="仿宋_GB2312"/>
          <w:color w:val="auto"/>
          <w:sz w:val="32"/>
          <w:szCs w:val="32"/>
          <w:highlight w:val="none"/>
          <w:lang w:val="en-US" w:eastAsia="zh-CN"/>
        </w:rPr>
        <w:t>18</w:t>
      </w:r>
      <w:r>
        <w:rPr>
          <w:rFonts w:eastAsia="仿宋_GB2312"/>
          <w:color w:val="auto"/>
          <w:sz w:val="32"/>
          <w:szCs w:val="32"/>
          <w:highlight w:val="none"/>
        </w:rPr>
        <w:t>起，同比减少</w:t>
      </w:r>
      <w:r>
        <w:rPr>
          <w:rFonts w:hint="eastAsia" w:eastAsia="仿宋_GB2312"/>
          <w:color w:val="auto"/>
          <w:sz w:val="32"/>
          <w:szCs w:val="32"/>
          <w:highlight w:val="none"/>
          <w:lang w:val="en-US" w:eastAsia="zh-CN"/>
        </w:rPr>
        <w:t>11</w:t>
      </w:r>
      <w:r>
        <w:rPr>
          <w:rFonts w:eastAsia="仿宋_GB2312"/>
          <w:color w:val="auto"/>
          <w:spacing w:val="-8"/>
          <w:sz w:val="32"/>
          <w:szCs w:val="32"/>
          <w:highlight w:val="none"/>
        </w:rPr>
        <w:t>起，下降</w:t>
      </w:r>
      <w:r>
        <w:rPr>
          <w:rFonts w:hint="eastAsia" w:eastAsia="仿宋_GB2312"/>
          <w:color w:val="auto"/>
          <w:spacing w:val="-8"/>
          <w:sz w:val="32"/>
          <w:szCs w:val="32"/>
          <w:highlight w:val="none"/>
          <w:lang w:val="en-US" w:eastAsia="zh-CN"/>
        </w:rPr>
        <w:t>61.1</w:t>
      </w:r>
      <w:r>
        <w:rPr>
          <w:rFonts w:eastAsia="仿宋_GB2312"/>
          <w:color w:val="auto"/>
          <w:spacing w:val="-8"/>
          <w:sz w:val="32"/>
          <w:szCs w:val="32"/>
          <w:highlight w:val="none"/>
        </w:rPr>
        <w:t>%；生产安全事故起数和死亡人数连年“双下降”，未发生重特大事故，实现了</w:t>
      </w:r>
      <w:r>
        <w:rPr>
          <w:rFonts w:hint="eastAsia" w:eastAsia="仿宋_GB2312"/>
          <w:color w:val="auto"/>
          <w:spacing w:val="-8"/>
          <w:sz w:val="32"/>
          <w:szCs w:val="32"/>
          <w:highlight w:val="none"/>
          <w:lang w:eastAsia="zh-CN"/>
        </w:rPr>
        <w:t>市</w:t>
      </w:r>
      <w:r>
        <w:rPr>
          <w:rFonts w:eastAsia="仿宋_GB2312"/>
          <w:color w:val="auto"/>
          <w:spacing w:val="-8"/>
          <w:sz w:val="32"/>
          <w:szCs w:val="32"/>
          <w:highlight w:val="none"/>
        </w:rPr>
        <w:t>政府确定的“十三五”安全生产工作</w:t>
      </w:r>
      <w:r>
        <w:rPr>
          <w:rFonts w:eastAsia="仿宋_GB2312"/>
          <w:color w:val="auto"/>
          <w:sz w:val="32"/>
          <w:szCs w:val="32"/>
          <w:highlight w:val="none"/>
        </w:rPr>
        <w:t>目标。</w:t>
      </w:r>
    </w:p>
    <w:p>
      <w:pPr>
        <w:spacing w:line="560" w:lineRule="exact"/>
        <w:ind w:firstLine="642" w:firstLineChars="200"/>
        <w:rPr>
          <w:rFonts w:eastAsia="仿宋_GB2312"/>
          <w:color w:val="auto"/>
          <w:sz w:val="32"/>
          <w:szCs w:val="32"/>
          <w:highlight w:val="none"/>
        </w:rPr>
      </w:pPr>
      <w:r>
        <w:rPr>
          <w:rFonts w:hint="eastAsia" w:eastAsia="楷体_GB2312"/>
          <w:b/>
          <w:color w:val="auto"/>
          <w:sz w:val="32"/>
          <w:szCs w:val="32"/>
          <w:highlight w:val="none"/>
        </w:rPr>
        <w:t xml:space="preserve">1. </w:t>
      </w:r>
      <w:r>
        <w:rPr>
          <w:rFonts w:eastAsia="楷体_GB2312"/>
          <w:b/>
          <w:color w:val="auto"/>
          <w:sz w:val="32"/>
          <w:szCs w:val="32"/>
          <w:highlight w:val="none"/>
        </w:rPr>
        <w:t>事故起数大幅下降。</w:t>
      </w:r>
      <w:r>
        <w:rPr>
          <w:rFonts w:eastAsia="仿宋_GB2312"/>
          <w:color w:val="auto"/>
          <w:sz w:val="32"/>
          <w:szCs w:val="32"/>
          <w:highlight w:val="none"/>
        </w:rPr>
        <w:t>2016年以来没有发生重大及以上事故。2020年较大事故起数</w:t>
      </w:r>
      <w:r>
        <w:rPr>
          <w:rFonts w:hint="eastAsia" w:eastAsia="仿宋_GB2312"/>
          <w:color w:val="auto"/>
          <w:sz w:val="32"/>
          <w:szCs w:val="32"/>
          <w:highlight w:val="none"/>
          <w:lang w:val="en-US" w:eastAsia="zh-CN"/>
        </w:rPr>
        <w:t>1</w:t>
      </w:r>
      <w:r>
        <w:rPr>
          <w:rFonts w:eastAsia="仿宋_GB2312"/>
          <w:color w:val="auto"/>
          <w:sz w:val="32"/>
          <w:szCs w:val="32"/>
          <w:highlight w:val="none"/>
        </w:rPr>
        <w:t>起，相比2015年下降</w:t>
      </w:r>
      <w:r>
        <w:rPr>
          <w:rFonts w:hint="eastAsia" w:eastAsia="仿宋_GB2312"/>
          <w:color w:val="auto"/>
          <w:sz w:val="32"/>
          <w:szCs w:val="32"/>
          <w:highlight w:val="none"/>
          <w:lang w:val="en-US" w:eastAsia="zh-CN"/>
        </w:rPr>
        <w:t>66.7</w:t>
      </w:r>
      <w:r>
        <w:rPr>
          <w:rFonts w:eastAsia="仿宋_GB2312"/>
          <w:color w:val="auto"/>
          <w:sz w:val="32"/>
          <w:szCs w:val="32"/>
          <w:highlight w:val="none"/>
        </w:rPr>
        <w:t>%，相比2016年下降</w:t>
      </w:r>
      <w:r>
        <w:rPr>
          <w:rFonts w:hint="eastAsia" w:eastAsia="仿宋_GB2312"/>
          <w:color w:val="auto"/>
          <w:sz w:val="32"/>
          <w:szCs w:val="32"/>
          <w:highlight w:val="none"/>
          <w:lang w:val="en-US" w:eastAsia="zh-CN"/>
        </w:rPr>
        <w:t>50</w:t>
      </w:r>
      <w:r>
        <w:rPr>
          <w:rFonts w:eastAsia="仿宋_GB2312"/>
          <w:color w:val="auto"/>
          <w:sz w:val="32"/>
          <w:szCs w:val="32"/>
          <w:highlight w:val="none"/>
        </w:rPr>
        <w:t>%。2020年生产安全事故起数</w:t>
      </w:r>
      <w:r>
        <w:rPr>
          <w:rFonts w:hint="eastAsia" w:eastAsia="仿宋_GB2312"/>
          <w:color w:val="auto"/>
          <w:sz w:val="32"/>
          <w:szCs w:val="32"/>
          <w:highlight w:val="none"/>
          <w:lang w:val="en-US" w:eastAsia="zh-CN"/>
        </w:rPr>
        <w:t>65</w:t>
      </w:r>
      <w:r>
        <w:rPr>
          <w:rFonts w:eastAsia="仿宋_GB2312"/>
          <w:color w:val="auto"/>
          <w:sz w:val="32"/>
          <w:szCs w:val="32"/>
          <w:highlight w:val="none"/>
        </w:rPr>
        <w:t>起，相比2015年下降</w:t>
      </w:r>
      <w:r>
        <w:rPr>
          <w:rFonts w:hint="eastAsia" w:eastAsia="仿宋_GB2312"/>
          <w:color w:val="auto"/>
          <w:sz w:val="32"/>
          <w:szCs w:val="32"/>
          <w:highlight w:val="none"/>
          <w:lang w:val="en-US" w:eastAsia="zh-CN"/>
        </w:rPr>
        <w:t>78.2</w:t>
      </w:r>
      <w:r>
        <w:rPr>
          <w:rFonts w:eastAsia="仿宋_GB2312"/>
          <w:color w:val="auto"/>
          <w:sz w:val="32"/>
          <w:szCs w:val="32"/>
          <w:highlight w:val="none"/>
        </w:rPr>
        <w:t>%，年均降幅</w:t>
      </w:r>
      <w:r>
        <w:rPr>
          <w:rFonts w:hint="eastAsia" w:eastAsia="仿宋_GB2312"/>
          <w:color w:val="auto"/>
          <w:sz w:val="32"/>
          <w:szCs w:val="32"/>
          <w:highlight w:val="none"/>
          <w:lang w:val="en-US" w:eastAsia="zh-CN"/>
        </w:rPr>
        <w:t>15.6</w:t>
      </w:r>
      <w:r>
        <w:rPr>
          <w:rFonts w:eastAsia="仿宋_GB2312"/>
          <w:color w:val="auto"/>
          <w:sz w:val="32"/>
          <w:szCs w:val="32"/>
          <w:highlight w:val="none"/>
        </w:rPr>
        <w:t>%；相比2016年下降</w:t>
      </w:r>
      <w:r>
        <w:rPr>
          <w:rFonts w:hint="eastAsia" w:eastAsia="仿宋_GB2312"/>
          <w:color w:val="auto"/>
          <w:sz w:val="32"/>
          <w:szCs w:val="32"/>
          <w:highlight w:val="none"/>
          <w:lang w:val="en-US" w:eastAsia="zh-CN"/>
        </w:rPr>
        <w:t>78.5</w:t>
      </w:r>
      <w:r>
        <w:rPr>
          <w:rFonts w:eastAsia="仿宋_GB2312"/>
          <w:color w:val="auto"/>
          <w:sz w:val="32"/>
          <w:szCs w:val="32"/>
          <w:highlight w:val="none"/>
        </w:rPr>
        <w:t>%，年均降幅</w:t>
      </w:r>
      <w:r>
        <w:rPr>
          <w:rFonts w:hint="eastAsia" w:eastAsia="仿宋_GB2312"/>
          <w:color w:val="auto"/>
          <w:sz w:val="32"/>
          <w:szCs w:val="32"/>
          <w:highlight w:val="none"/>
          <w:lang w:val="en-US" w:eastAsia="zh-CN"/>
        </w:rPr>
        <w:t>19.6</w:t>
      </w:r>
      <w:r>
        <w:rPr>
          <w:rFonts w:eastAsia="仿宋_GB2312"/>
          <w:color w:val="auto"/>
          <w:sz w:val="32"/>
          <w:szCs w:val="32"/>
          <w:highlight w:val="none"/>
        </w:rPr>
        <w:t>%。</w:t>
      </w:r>
    </w:p>
    <w:p>
      <w:pPr>
        <w:spacing w:line="600" w:lineRule="exact"/>
        <w:jc w:val="center"/>
        <w:rPr>
          <w:rFonts w:eastAsia="楷体_GB2312"/>
          <w:b/>
          <w:bCs/>
          <w:color w:val="auto"/>
          <w:sz w:val="28"/>
          <w:szCs w:val="28"/>
          <w:highlight w:val="none"/>
        </w:rPr>
      </w:pPr>
      <w:r>
        <w:rPr>
          <w:rFonts w:eastAsia="楷体_GB2312"/>
          <w:b/>
          <w:bCs/>
          <w:color w:val="auto"/>
          <w:sz w:val="28"/>
          <w:szCs w:val="28"/>
          <w:highlight w:val="none"/>
        </w:rPr>
        <w:t>图1  生产安全事故起数</w:t>
      </w:r>
    </w:p>
    <w:p>
      <w:pPr>
        <w:jc w:val="center"/>
        <w:rPr>
          <w:rFonts w:hint="eastAsia" w:eastAsia="仿宋_GB2312"/>
          <w:color w:val="auto"/>
          <w:sz w:val="32"/>
          <w:szCs w:val="32"/>
          <w:highlight w:val="none"/>
          <w:lang w:eastAsia="zh-CN"/>
        </w:rPr>
      </w:pPr>
      <w:bookmarkStart w:id="2" w:name="_1672495279"/>
      <w:bookmarkEnd w:id="2"/>
      <w:bookmarkStart w:id="3" w:name="_1672495269"/>
      <w:bookmarkEnd w:id="3"/>
      <w:r>
        <w:rPr>
          <w:rFonts w:hint="eastAsia" w:eastAsia="仿宋_GB2312"/>
          <w:color w:val="auto"/>
          <w:sz w:val="32"/>
          <w:szCs w:val="32"/>
          <w:highlight w:val="none"/>
          <w:lang w:eastAsia="zh-CN"/>
        </w:rPr>
        <w:drawing>
          <wp:inline distT="0" distB="0" distL="114300" distR="114300">
            <wp:extent cx="5615940" cy="3166110"/>
            <wp:effectExtent l="0" t="0" r="3810" b="15240"/>
            <wp:docPr id="6" name="图片 6" descr="aa44d1cabfc4083eda28a7dae77a6c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图片 6" descr="aa44d1cabfc4083eda28a7dae77a6c4"/>
                    <pic:cNvPicPr>
                      <a:picLocks noChangeAspect="true"/>
                    </pic:cNvPicPr>
                  </pic:nvPicPr>
                  <pic:blipFill>
                    <a:blip r:embed="rId8"/>
                    <a:stretch>
                      <a:fillRect/>
                    </a:stretch>
                  </pic:blipFill>
                  <pic:spPr>
                    <a:xfrm>
                      <a:off x="0" y="0"/>
                      <a:ext cx="5615940" cy="3166110"/>
                    </a:xfrm>
                    <a:prstGeom prst="rect">
                      <a:avLst/>
                    </a:prstGeom>
                  </pic:spPr>
                </pic:pic>
              </a:graphicData>
            </a:graphic>
          </wp:inline>
        </w:drawing>
      </w:r>
    </w:p>
    <w:p>
      <w:pPr>
        <w:spacing w:line="600" w:lineRule="exact"/>
        <w:jc w:val="center"/>
        <w:rPr>
          <w:rFonts w:eastAsia="楷体_GB2312"/>
          <w:b/>
          <w:color w:val="auto"/>
          <w:sz w:val="28"/>
          <w:szCs w:val="28"/>
          <w:highlight w:val="none"/>
        </w:rPr>
      </w:pPr>
    </w:p>
    <w:p>
      <w:pPr>
        <w:spacing w:line="600" w:lineRule="exact"/>
        <w:jc w:val="center"/>
        <w:rPr>
          <w:rFonts w:eastAsia="楷体_GB2312"/>
          <w:b/>
          <w:color w:val="auto"/>
          <w:sz w:val="28"/>
          <w:szCs w:val="28"/>
          <w:highlight w:val="none"/>
        </w:rPr>
      </w:pPr>
      <w:r>
        <w:rPr>
          <w:rFonts w:eastAsia="楷体_GB2312"/>
          <w:b/>
          <w:color w:val="auto"/>
          <w:sz w:val="28"/>
          <w:szCs w:val="28"/>
          <w:highlight w:val="none"/>
        </w:rPr>
        <w:t>图2  较大事故起数</w:t>
      </w:r>
    </w:p>
    <w:p>
      <w:pPr>
        <w:ind w:firstLine="630" w:firstLineChars="300"/>
        <w:jc w:val="left"/>
        <w:rPr>
          <w:rFonts w:eastAsia="仿宋_GB2312"/>
          <w:color w:val="auto"/>
          <w:sz w:val="32"/>
          <w:szCs w:val="32"/>
          <w:highlight w:val="none"/>
        </w:rPr>
      </w:pPr>
      <w:r>
        <w:rPr>
          <w:color w:val="auto"/>
          <w:highlight w:val="none"/>
        </w:rPr>
        <w:drawing>
          <wp:inline distT="0" distB="0" distL="114300" distR="114300">
            <wp:extent cx="5614035" cy="3376295"/>
            <wp:effectExtent l="0" t="0" r="5715" b="14605"/>
            <wp:docPr id="7" name="图片 7" descr="b298fe8f92f0ba6b7b4f5746789407a"/>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 name="图片 7" descr="b298fe8f92f0ba6b7b4f5746789407a"/>
                    <pic:cNvPicPr>
                      <a:picLocks noChangeAspect="true"/>
                    </pic:cNvPicPr>
                  </pic:nvPicPr>
                  <pic:blipFill>
                    <a:blip r:embed="rId9"/>
                    <a:stretch>
                      <a:fillRect/>
                    </a:stretch>
                  </pic:blipFill>
                  <pic:spPr>
                    <a:xfrm>
                      <a:off x="0" y="0"/>
                      <a:ext cx="5614035" cy="3376295"/>
                    </a:xfrm>
                    <a:prstGeom prst="rect">
                      <a:avLst/>
                    </a:prstGeom>
                  </pic:spPr>
                </pic:pic>
              </a:graphicData>
            </a:graphic>
          </wp:inline>
        </w:drawing>
      </w:r>
      <w:r>
        <w:rPr>
          <w:rFonts w:hint="eastAsia" w:eastAsia="楷体_GB2312"/>
          <w:b/>
          <w:bCs/>
          <w:color w:val="auto"/>
          <w:sz w:val="32"/>
          <w:szCs w:val="32"/>
          <w:highlight w:val="none"/>
        </w:rPr>
        <w:t xml:space="preserve">2. </w:t>
      </w:r>
      <w:r>
        <w:rPr>
          <w:rFonts w:eastAsia="楷体_GB2312"/>
          <w:b/>
          <w:bCs/>
          <w:color w:val="auto"/>
          <w:sz w:val="32"/>
          <w:szCs w:val="32"/>
          <w:highlight w:val="none"/>
        </w:rPr>
        <w:t>死亡人数明显减少。</w:t>
      </w:r>
      <w:r>
        <w:rPr>
          <w:rFonts w:eastAsia="仿宋_GB2312"/>
          <w:color w:val="auto"/>
          <w:sz w:val="32"/>
          <w:szCs w:val="32"/>
          <w:highlight w:val="none"/>
        </w:rPr>
        <w:t>2020年生产安全事故死亡人数</w:t>
      </w:r>
      <w:r>
        <w:rPr>
          <w:rFonts w:hint="eastAsia" w:eastAsia="仿宋_GB2312"/>
          <w:color w:val="auto"/>
          <w:sz w:val="32"/>
          <w:szCs w:val="32"/>
          <w:highlight w:val="none"/>
          <w:lang w:val="en-US" w:eastAsia="zh-CN"/>
        </w:rPr>
        <w:t>55</w:t>
      </w:r>
      <w:r>
        <w:rPr>
          <w:rFonts w:eastAsia="仿宋_GB2312"/>
          <w:color w:val="auto"/>
          <w:sz w:val="32"/>
          <w:szCs w:val="32"/>
          <w:highlight w:val="none"/>
        </w:rPr>
        <w:t>人，相比2015年下降</w:t>
      </w:r>
      <w:r>
        <w:rPr>
          <w:rFonts w:hint="eastAsia" w:eastAsia="仿宋_GB2312"/>
          <w:color w:val="auto"/>
          <w:sz w:val="32"/>
          <w:szCs w:val="32"/>
          <w:highlight w:val="none"/>
          <w:lang w:val="en-US" w:eastAsia="zh-CN"/>
        </w:rPr>
        <w:t>48.1</w:t>
      </w:r>
      <w:r>
        <w:rPr>
          <w:rFonts w:eastAsia="仿宋_GB2312"/>
          <w:color w:val="auto"/>
          <w:sz w:val="32"/>
          <w:szCs w:val="32"/>
          <w:highlight w:val="none"/>
        </w:rPr>
        <w:t>%，年均降幅</w:t>
      </w:r>
      <w:r>
        <w:rPr>
          <w:rFonts w:hint="eastAsia" w:eastAsia="仿宋_GB2312"/>
          <w:color w:val="auto"/>
          <w:sz w:val="32"/>
          <w:szCs w:val="32"/>
          <w:highlight w:val="none"/>
          <w:lang w:val="en-US" w:eastAsia="zh-CN"/>
        </w:rPr>
        <w:t>9.6</w:t>
      </w:r>
      <w:r>
        <w:rPr>
          <w:rFonts w:eastAsia="仿宋_GB2312"/>
          <w:color w:val="auto"/>
          <w:sz w:val="32"/>
          <w:szCs w:val="32"/>
          <w:highlight w:val="none"/>
        </w:rPr>
        <w:t>%；相比2016年下降</w:t>
      </w:r>
      <w:r>
        <w:rPr>
          <w:rFonts w:hint="eastAsia" w:eastAsia="仿宋_GB2312"/>
          <w:color w:val="auto"/>
          <w:sz w:val="32"/>
          <w:szCs w:val="32"/>
          <w:highlight w:val="none"/>
          <w:lang w:val="en-US" w:eastAsia="zh-CN"/>
        </w:rPr>
        <w:t>58.6</w:t>
      </w:r>
      <w:r>
        <w:rPr>
          <w:rFonts w:eastAsia="仿宋_GB2312"/>
          <w:color w:val="auto"/>
          <w:sz w:val="32"/>
          <w:szCs w:val="32"/>
          <w:highlight w:val="none"/>
        </w:rPr>
        <w:t>%，年均降幅</w:t>
      </w:r>
      <w:r>
        <w:rPr>
          <w:rFonts w:hint="eastAsia" w:eastAsia="仿宋_GB2312"/>
          <w:color w:val="auto"/>
          <w:sz w:val="32"/>
          <w:szCs w:val="32"/>
          <w:highlight w:val="none"/>
          <w:lang w:val="en-US" w:eastAsia="zh-CN"/>
        </w:rPr>
        <w:t>11.7</w:t>
      </w:r>
      <w:r>
        <w:rPr>
          <w:rFonts w:eastAsia="仿宋_GB2312"/>
          <w:color w:val="auto"/>
          <w:sz w:val="32"/>
          <w:szCs w:val="32"/>
          <w:highlight w:val="none"/>
        </w:rPr>
        <w:t>%。2020年较大事故死亡人数</w:t>
      </w:r>
      <w:r>
        <w:rPr>
          <w:rFonts w:hint="eastAsia" w:eastAsia="仿宋_GB2312"/>
          <w:color w:val="auto"/>
          <w:sz w:val="32"/>
          <w:szCs w:val="32"/>
          <w:highlight w:val="none"/>
          <w:lang w:val="en-US" w:eastAsia="zh-CN"/>
        </w:rPr>
        <w:t>4</w:t>
      </w:r>
      <w:r>
        <w:rPr>
          <w:rFonts w:eastAsia="仿宋_GB2312"/>
          <w:color w:val="auto"/>
          <w:sz w:val="32"/>
          <w:szCs w:val="32"/>
          <w:highlight w:val="none"/>
        </w:rPr>
        <w:t>人，相比2015年下降</w:t>
      </w:r>
      <w:r>
        <w:rPr>
          <w:rFonts w:hint="eastAsia" w:eastAsia="仿宋_GB2312"/>
          <w:color w:val="auto"/>
          <w:sz w:val="32"/>
          <w:szCs w:val="32"/>
          <w:highlight w:val="none"/>
          <w:lang w:val="en-US" w:eastAsia="zh-CN"/>
        </w:rPr>
        <w:t>63.6</w:t>
      </w:r>
      <w:r>
        <w:rPr>
          <w:rFonts w:eastAsia="仿宋_GB2312"/>
          <w:color w:val="auto"/>
          <w:sz w:val="32"/>
          <w:szCs w:val="32"/>
          <w:highlight w:val="none"/>
        </w:rPr>
        <w:t>%，年均降幅</w:t>
      </w:r>
      <w:r>
        <w:rPr>
          <w:rFonts w:hint="eastAsia" w:eastAsia="仿宋_GB2312"/>
          <w:color w:val="auto"/>
          <w:sz w:val="32"/>
          <w:szCs w:val="32"/>
          <w:highlight w:val="none"/>
          <w:lang w:val="en-US" w:eastAsia="zh-CN"/>
        </w:rPr>
        <w:t>12.7</w:t>
      </w:r>
      <w:r>
        <w:rPr>
          <w:rFonts w:eastAsia="仿宋_GB2312"/>
          <w:color w:val="auto"/>
          <w:sz w:val="32"/>
          <w:szCs w:val="32"/>
          <w:highlight w:val="none"/>
        </w:rPr>
        <w:t>%；相比2016年下降</w:t>
      </w:r>
      <w:r>
        <w:rPr>
          <w:rFonts w:hint="eastAsia" w:eastAsia="仿宋_GB2312"/>
          <w:color w:val="auto"/>
          <w:sz w:val="32"/>
          <w:szCs w:val="32"/>
          <w:highlight w:val="none"/>
          <w:lang w:val="en-US" w:eastAsia="zh-CN"/>
        </w:rPr>
        <w:t>55.6</w:t>
      </w:r>
      <w:r>
        <w:rPr>
          <w:rFonts w:eastAsia="仿宋_GB2312"/>
          <w:color w:val="auto"/>
          <w:sz w:val="32"/>
          <w:szCs w:val="32"/>
          <w:highlight w:val="none"/>
        </w:rPr>
        <w:t>%，年均降幅</w:t>
      </w:r>
      <w:r>
        <w:rPr>
          <w:rFonts w:hint="eastAsia" w:eastAsia="仿宋_GB2312"/>
          <w:color w:val="auto"/>
          <w:sz w:val="32"/>
          <w:szCs w:val="32"/>
          <w:highlight w:val="none"/>
          <w:lang w:val="en-US" w:eastAsia="zh-CN"/>
        </w:rPr>
        <w:t>11.1</w:t>
      </w:r>
      <w:r>
        <w:rPr>
          <w:rFonts w:eastAsia="仿宋_GB2312"/>
          <w:color w:val="auto"/>
          <w:sz w:val="32"/>
          <w:szCs w:val="32"/>
          <w:highlight w:val="none"/>
        </w:rPr>
        <w:t>%。</w:t>
      </w:r>
    </w:p>
    <w:p>
      <w:pPr>
        <w:spacing w:line="600" w:lineRule="exact"/>
        <w:jc w:val="center"/>
        <w:rPr>
          <w:rFonts w:eastAsia="楷体_GB2312"/>
          <w:b/>
          <w:color w:val="auto"/>
          <w:sz w:val="28"/>
          <w:szCs w:val="28"/>
          <w:highlight w:val="none"/>
        </w:rPr>
      </w:pPr>
      <w:r>
        <w:rPr>
          <w:rFonts w:eastAsia="楷体_GB2312"/>
          <w:b/>
          <w:color w:val="auto"/>
          <w:sz w:val="28"/>
          <w:szCs w:val="28"/>
          <w:highlight w:val="none"/>
        </w:rPr>
        <w:t>图3  生产安全事故死亡人数</w:t>
      </w:r>
    </w:p>
    <w:p>
      <w:pPr>
        <w:jc w:val="center"/>
        <w:rPr>
          <w:rFonts w:hint="eastAsia" w:eastAsia="宋体"/>
          <w:color w:val="auto"/>
          <w:highlight w:val="none"/>
          <w:lang w:eastAsia="zh-CN"/>
        </w:rPr>
      </w:pPr>
      <w:r>
        <w:rPr>
          <w:rFonts w:hint="eastAsia" w:eastAsia="宋体"/>
          <w:color w:val="auto"/>
          <w:highlight w:val="none"/>
          <w:lang w:eastAsia="zh-CN"/>
        </w:rPr>
        <w:drawing>
          <wp:inline distT="0" distB="0" distL="114300" distR="114300">
            <wp:extent cx="5614035" cy="2633980"/>
            <wp:effectExtent l="0" t="0" r="5715" b="13970"/>
            <wp:docPr id="8" name="图片 8" descr="f3e51f96bdbb4efc046eb524b27d49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 name="图片 8" descr="f3e51f96bdbb4efc046eb524b27d499"/>
                    <pic:cNvPicPr>
                      <a:picLocks noChangeAspect="true"/>
                    </pic:cNvPicPr>
                  </pic:nvPicPr>
                  <pic:blipFill>
                    <a:blip r:embed="rId10"/>
                    <a:stretch>
                      <a:fillRect/>
                    </a:stretch>
                  </pic:blipFill>
                  <pic:spPr>
                    <a:xfrm>
                      <a:off x="0" y="0"/>
                      <a:ext cx="5614035" cy="2633980"/>
                    </a:xfrm>
                    <a:prstGeom prst="rect">
                      <a:avLst/>
                    </a:prstGeom>
                  </pic:spPr>
                </pic:pic>
              </a:graphicData>
            </a:graphic>
          </wp:inline>
        </w:drawing>
      </w:r>
    </w:p>
    <w:p>
      <w:pPr>
        <w:spacing w:line="600" w:lineRule="exact"/>
        <w:jc w:val="center"/>
        <w:rPr>
          <w:rFonts w:eastAsia="楷体_GB2312"/>
          <w:b/>
          <w:color w:val="auto"/>
          <w:sz w:val="28"/>
          <w:szCs w:val="28"/>
          <w:highlight w:val="none"/>
        </w:rPr>
      </w:pPr>
      <w:r>
        <w:rPr>
          <w:rFonts w:eastAsia="楷体_GB2312"/>
          <w:b/>
          <w:color w:val="auto"/>
          <w:sz w:val="28"/>
          <w:szCs w:val="28"/>
          <w:highlight w:val="none"/>
        </w:rPr>
        <w:t>图4  较大事故死亡人数</w:t>
      </w:r>
    </w:p>
    <w:p>
      <w:pPr>
        <w:jc w:val="center"/>
        <w:rPr>
          <w:rFonts w:hint="eastAsia" w:eastAsia="仿宋_GB2312"/>
          <w:color w:val="auto"/>
          <w:sz w:val="32"/>
          <w:szCs w:val="32"/>
          <w:highlight w:val="none"/>
          <w:lang w:eastAsia="zh-CN"/>
        </w:rPr>
      </w:pPr>
      <w:bookmarkStart w:id="4" w:name="_1653913328"/>
      <w:bookmarkEnd w:id="4"/>
      <w:bookmarkStart w:id="5" w:name="_1653914423"/>
      <w:bookmarkEnd w:id="5"/>
      <w:bookmarkStart w:id="6" w:name="_1653914412"/>
      <w:bookmarkEnd w:id="6"/>
      <w:bookmarkStart w:id="7" w:name="_1653913257"/>
      <w:bookmarkEnd w:id="7"/>
    </w:p>
    <w:p>
      <w:pPr>
        <w:spacing w:line="520" w:lineRule="exact"/>
        <w:ind w:firstLine="629"/>
        <w:rPr>
          <w:rFonts w:eastAsia="仿宋_GB2312"/>
          <w:color w:val="auto"/>
          <w:sz w:val="32"/>
          <w:szCs w:val="32"/>
          <w:highlight w:val="none"/>
        </w:rPr>
      </w:pPr>
      <w:r>
        <w:rPr>
          <w:rFonts w:hint="eastAsia" w:eastAsia="楷体_GB2312"/>
          <w:b/>
          <w:bCs/>
          <w:color w:val="auto"/>
          <w:sz w:val="32"/>
          <w:szCs w:val="32"/>
          <w:highlight w:val="none"/>
        </w:rPr>
        <w:t xml:space="preserve">3. </w:t>
      </w:r>
      <w:r>
        <w:rPr>
          <w:rFonts w:eastAsia="楷体_GB2312"/>
          <w:b/>
          <w:bCs/>
          <w:color w:val="auto"/>
          <w:sz w:val="32"/>
          <w:szCs w:val="32"/>
          <w:highlight w:val="none"/>
        </w:rPr>
        <w:t>控制指标基本实现。</w:t>
      </w:r>
      <w:r>
        <w:rPr>
          <w:rFonts w:eastAsia="仿宋_GB2312"/>
          <w:color w:val="auto"/>
          <w:sz w:val="32"/>
          <w:szCs w:val="32"/>
          <w:highlight w:val="none"/>
        </w:rPr>
        <w:t>亿元地区生产总值死亡率由2015年的</w:t>
      </w:r>
      <w:r>
        <w:rPr>
          <w:rFonts w:hint="eastAsia" w:eastAsia="仿宋_GB2312"/>
          <w:color w:val="auto"/>
          <w:sz w:val="32"/>
          <w:szCs w:val="32"/>
          <w:highlight w:val="none"/>
          <w:lang w:val="en-US" w:eastAsia="zh-CN"/>
        </w:rPr>
        <w:t>0.21</w:t>
      </w:r>
      <w:r>
        <w:rPr>
          <w:rFonts w:eastAsia="仿宋_GB2312"/>
          <w:color w:val="auto"/>
          <w:sz w:val="32"/>
          <w:szCs w:val="32"/>
          <w:highlight w:val="none"/>
        </w:rPr>
        <w:t>下降到2020年的0.0</w:t>
      </w:r>
      <w:r>
        <w:rPr>
          <w:rFonts w:hint="eastAsia" w:eastAsia="仿宋_GB2312"/>
          <w:color w:val="auto"/>
          <w:sz w:val="32"/>
          <w:szCs w:val="32"/>
          <w:highlight w:val="none"/>
          <w:lang w:val="en-US" w:eastAsia="zh-CN"/>
        </w:rPr>
        <w:t>3</w:t>
      </w:r>
      <w:r>
        <w:rPr>
          <w:rFonts w:eastAsia="仿宋_GB2312"/>
          <w:color w:val="auto"/>
          <w:sz w:val="32"/>
          <w:szCs w:val="32"/>
          <w:highlight w:val="none"/>
        </w:rPr>
        <w:t>，下降</w:t>
      </w:r>
      <w:r>
        <w:rPr>
          <w:rFonts w:hint="eastAsia" w:eastAsia="仿宋_GB2312"/>
          <w:color w:val="auto"/>
          <w:sz w:val="32"/>
          <w:szCs w:val="32"/>
          <w:highlight w:val="none"/>
          <w:lang w:val="en-US" w:eastAsia="zh-CN"/>
        </w:rPr>
        <w:t>86</w:t>
      </w:r>
      <w:r>
        <w:rPr>
          <w:rFonts w:eastAsia="仿宋_GB2312"/>
          <w:color w:val="auto"/>
          <w:sz w:val="32"/>
          <w:szCs w:val="32"/>
          <w:highlight w:val="none"/>
        </w:rPr>
        <w:t>%，年均降幅</w:t>
      </w:r>
      <w:r>
        <w:rPr>
          <w:rFonts w:hint="eastAsia" w:eastAsia="仿宋_GB2312"/>
          <w:color w:val="auto"/>
          <w:sz w:val="32"/>
          <w:szCs w:val="32"/>
          <w:highlight w:val="none"/>
          <w:lang w:val="en-US" w:eastAsia="zh-CN"/>
        </w:rPr>
        <w:t>17.1</w:t>
      </w:r>
      <w:r>
        <w:rPr>
          <w:rFonts w:eastAsia="仿宋_GB2312"/>
          <w:color w:val="auto"/>
          <w:sz w:val="32"/>
          <w:szCs w:val="32"/>
          <w:highlight w:val="none"/>
        </w:rPr>
        <w:t>%。营运车辆万车死亡率由2015年的</w:t>
      </w:r>
      <w:r>
        <w:rPr>
          <w:rFonts w:hint="eastAsia" w:eastAsia="仿宋_GB2312"/>
          <w:color w:val="auto"/>
          <w:sz w:val="32"/>
          <w:szCs w:val="32"/>
          <w:highlight w:val="none"/>
          <w:lang w:val="en-US" w:eastAsia="zh-CN"/>
        </w:rPr>
        <w:t>3.82</w:t>
      </w:r>
      <w:r>
        <w:rPr>
          <w:rFonts w:eastAsia="仿宋_GB2312"/>
          <w:color w:val="auto"/>
          <w:sz w:val="32"/>
          <w:szCs w:val="32"/>
          <w:highlight w:val="none"/>
        </w:rPr>
        <w:t>下降到</w:t>
      </w:r>
      <w:r>
        <w:rPr>
          <w:rFonts w:eastAsia="仿宋_GB2312"/>
          <w:color w:val="auto"/>
          <w:sz w:val="32"/>
          <w:szCs w:val="32"/>
          <w:highlight w:val="none"/>
        </w:rPr>
        <w:t>2020年的</w:t>
      </w:r>
      <w:r>
        <w:rPr>
          <w:rFonts w:hint="eastAsia" w:eastAsia="仿宋_GB2312"/>
          <w:color w:val="auto"/>
          <w:sz w:val="32"/>
          <w:szCs w:val="32"/>
          <w:highlight w:val="none"/>
          <w:lang w:val="en-US" w:eastAsia="zh-CN"/>
        </w:rPr>
        <w:t>2.37</w:t>
      </w:r>
      <w:r>
        <w:rPr>
          <w:rFonts w:eastAsia="仿宋_GB2312"/>
          <w:color w:val="auto"/>
          <w:sz w:val="32"/>
          <w:szCs w:val="32"/>
          <w:highlight w:val="none"/>
        </w:rPr>
        <w:t>，</w:t>
      </w:r>
      <w:r>
        <w:rPr>
          <w:rFonts w:eastAsia="仿宋_GB2312"/>
          <w:color w:val="auto"/>
          <w:sz w:val="32"/>
          <w:szCs w:val="32"/>
          <w:highlight w:val="none"/>
        </w:rPr>
        <w:t>下降</w:t>
      </w:r>
      <w:r>
        <w:rPr>
          <w:rFonts w:hint="eastAsia" w:eastAsia="仿宋_GB2312"/>
          <w:color w:val="auto"/>
          <w:sz w:val="32"/>
          <w:szCs w:val="32"/>
          <w:highlight w:val="none"/>
          <w:lang w:val="en-US" w:eastAsia="zh-CN"/>
        </w:rPr>
        <w:t>37.9</w:t>
      </w:r>
      <w:r>
        <w:rPr>
          <w:rFonts w:eastAsia="仿宋_GB2312"/>
          <w:color w:val="auto"/>
          <w:sz w:val="32"/>
          <w:szCs w:val="32"/>
          <w:highlight w:val="none"/>
        </w:rPr>
        <w:t>%，年均降幅</w:t>
      </w:r>
      <w:r>
        <w:rPr>
          <w:rFonts w:hint="eastAsia" w:eastAsia="仿宋_GB2312"/>
          <w:color w:val="auto"/>
          <w:sz w:val="32"/>
          <w:szCs w:val="32"/>
          <w:highlight w:val="none"/>
          <w:lang w:val="en-US" w:eastAsia="zh-CN"/>
        </w:rPr>
        <w:t>7.6</w:t>
      </w:r>
      <w:r>
        <w:rPr>
          <w:rFonts w:eastAsia="仿宋_GB2312"/>
          <w:color w:val="auto"/>
          <w:sz w:val="32"/>
          <w:szCs w:val="32"/>
          <w:highlight w:val="none"/>
        </w:rPr>
        <w:t>%。</w:t>
      </w:r>
    </w:p>
    <w:p>
      <w:pPr>
        <w:spacing w:line="600" w:lineRule="exact"/>
        <w:jc w:val="center"/>
        <w:rPr>
          <w:rFonts w:eastAsia="楷体_GB2312"/>
          <w:b/>
          <w:bCs/>
          <w:color w:val="auto"/>
          <w:sz w:val="28"/>
          <w:szCs w:val="28"/>
          <w:highlight w:val="none"/>
        </w:rPr>
      </w:pPr>
      <w:r>
        <w:rPr>
          <w:rFonts w:eastAsia="楷体_GB2312"/>
          <w:b/>
          <w:bCs/>
          <w:color w:val="auto"/>
          <w:sz w:val="28"/>
          <w:szCs w:val="28"/>
          <w:highlight w:val="none"/>
        </w:rPr>
        <w:t>图5  亿元地区生产总值死亡率</w:t>
      </w:r>
    </w:p>
    <w:p>
      <w:pPr>
        <w:spacing w:line="600" w:lineRule="exact"/>
        <w:jc w:val="center"/>
        <w:rPr>
          <w:rFonts w:eastAsia="楷体_GB2312"/>
          <w:b/>
          <w:bCs/>
          <w:color w:val="auto"/>
          <w:sz w:val="28"/>
          <w:szCs w:val="28"/>
          <w:highlight w:val="none"/>
        </w:rPr>
      </w:pPr>
    </w:p>
    <w:p>
      <w:pPr>
        <w:ind w:firstLine="420" w:firstLineChars="200"/>
        <w:rPr>
          <w:rFonts w:eastAsia="仿宋_GB2312"/>
          <w:color w:val="auto"/>
          <w:sz w:val="32"/>
          <w:szCs w:val="32"/>
          <w:highlight w:val="none"/>
        </w:rPr>
      </w:pPr>
      <w:r>
        <w:rPr>
          <w:color w:val="auto"/>
          <w:highlight w:val="none"/>
        </w:rPr>
        <w:drawing>
          <wp:inline distT="0" distB="0" distL="114300" distR="114300">
            <wp:extent cx="4584065" cy="2755265"/>
            <wp:effectExtent l="0" t="0" r="6985" b="6985"/>
            <wp:docPr id="10" name="图片 10" descr="200ee7ebc16972c5791c7116bfba4e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0" name="图片 10" descr="200ee7ebc16972c5791c7116bfba4e5"/>
                    <pic:cNvPicPr>
                      <a:picLocks noChangeAspect="true"/>
                    </pic:cNvPicPr>
                  </pic:nvPicPr>
                  <pic:blipFill>
                    <a:blip r:embed="rId11"/>
                    <a:stretch>
                      <a:fillRect/>
                    </a:stretch>
                  </pic:blipFill>
                  <pic:spPr>
                    <a:xfrm>
                      <a:off x="0" y="0"/>
                      <a:ext cx="4584065" cy="2755265"/>
                    </a:xfrm>
                    <a:prstGeom prst="rect">
                      <a:avLst/>
                    </a:prstGeom>
                  </pic:spPr>
                </pic:pic>
              </a:graphicData>
            </a:graphic>
          </wp:inline>
        </w:drawing>
      </w:r>
    </w:p>
    <w:p>
      <w:pPr>
        <w:pStyle w:val="4"/>
        <w:spacing w:before="120" w:after="120" w:line="360" w:lineRule="auto"/>
        <w:ind w:firstLine="642" w:firstLineChars="200"/>
        <w:rPr>
          <w:rFonts w:hint="eastAsia" w:ascii="Times New Roman" w:hAnsi="Times New Roman" w:eastAsia="楷体_GB2312"/>
          <w:color w:val="auto"/>
          <w:highlight w:val="none"/>
        </w:rPr>
      </w:pPr>
      <w:bookmarkStart w:id="8" w:name="_Toc48920559"/>
    </w:p>
    <w:p>
      <w:pPr>
        <w:pStyle w:val="4"/>
        <w:spacing w:before="0" w:after="0" w:line="580" w:lineRule="exact"/>
        <w:ind w:firstLine="642" w:firstLineChars="200"/>
        <w:rPr>
          <w:rFonts w:ascii="Times New Roman" w:hAnsi="Times New Roman" w:eastAsia="楷体_GB2312"/>
          <w:color w:val="auto"/>
          <w:highlight w:val="none"/>
        </w:rPr>
      </w:pPr>
      <w:r>
        <w:rPr>
          <w:rFonts w:ascii="Times New Roman" w:hAnsi="Times New Roman" w:eastAsia="楷体_GB2312"/>
          <w:color w:val="auto"/>
          <w:highlight w:val="none"/>
        </w:rPr>
        <w:t>（二）“十四五”时期面临的形势</w:t>
      </w:r>
      <w:bookmarkEnd w:id="8"/>
    </w:p>
    <w:p>
      <w:pPr>
        <w:pStyle w:val="2"/>
        <w:spacing w:after="0" w:line="560" w:lineRule="exact"/>
        <w:ind w:firstLine="640" w:firstLineChars="200"/>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t>“十四五”期间，我市安全生产工作面临新的形势，改革与发展并进，机遇与挑战并存。</w:t>
      </w:r>
    </w:p>
    <w:p>
      <w:pPr>
        <w:spacing w:line="580" w:lineRule="exact"/>
        <w:ind w:firstLine="642" w:firstLineChars="200"/>
        <w:rPr>
          <w:rFonts w:eastAsia="仿宋_GB2312"/>
          <w:color w:val="auto"/>
          <w:sz w:val="32"/>
          <w:szCs w:val="32"/>
          <w:highlight w:val="none"/>
        </w:rPr>
      </w:pPr>
      <w:r>
        <w:rPr>
          <w:rFonts w:hint="eastAsia" w:ascii="Arial" w:hAnsi="Arial" w:eastAsia="楷体"/>
          <w:b/>
          <w:color w:val="auto"/>
          <w:sz w:val="32"/>
          <w:highlight w:val="none"/>
          <w:lang w:val="en-US" w:eastAsia="zh-CN"/>
        </w:rPr>
        <w:t>1.</w:t>
      </w:r>
      <w:r>
        <w:rPr>
          <w:rFonts w:hint="eastAsia" w:ascii="Arial" w:hAnsi="Arial" w:eastAsia="楷体"/>
          <w:b/>
          <w:color w:val="auto"/>
          <w:sz w:val="32"/>
          <w:highlight w:val="none"/>
          <w:lang w:eastAsia="zh-CN"/>
        </w:rPr>
        <w:t>面临</w:t>
      </w:r>
      <w:r>
        <w:rPr>
          <w:rFonts w:hint="eastAsia" w:ascii="Arial" w:hAnsi="Arial" w:eastAsia="楷体"/>
          <w:b/>
          <w:color w:val="auto"/>
          <w:sz w:val="32"/>
          <w:highlight w:val="none"/>
        </w:rPr>
        <w:t>挑战</w:t>
      </w:r>
      <w:r>
        <w:rPr>
          <w:rFonts w:hint="eastAsia" w:ascii="仿宋_GB2312" w:eastAsia="仿宋_GB2312"/>
          <w:color w:val="auto"/>
          <w:sz w:val="32"/>
          <w:szCs w:val="32"/>
          <w:highlight w:val="none"/>
        </w:rPr>
        <w:t>。“十四五”时期，我国仍处于新型工业化、城镇化持续推进的过程中，我市安全生产工作面临许多挑战。一是我市安全生产工作体制机制仍不完善，全社会安全意识、法治意识不强等深层次问题没有得到有效解决。二是我市行业门类较为齐全，工商贸行业小微企业数量占比较大，落后工艺、技术、装备和产能</w:t>
      </w:r>
      <w:r>
        <w:rPr>
          <w:rFonts w:hint="eastAsia" w:ascii="仿宋_GB2312" w:eastAsia="仿宋_GB2312"/>
          <w:color w:val="auto"/>
          <w:sz w:val="32"/>
          <w:szCs w:val="32"/>
          <w:highlight w:val="none"/>
          <w:lang w:eastAsia="zh-CN"/>
        </w:rPr>
        <w:t>仍然</w:t>
      </w:r>
      <w:r>
        <w:rPr>
          <w:rFonts w:hint="eastAsia" w:ascii="仿宋_GB2312" w:eastAsia="仿宋_GB2312"/>
          <w:color w:val="auto"/>
          <w:sz w:val="32"/>
          <w:szCs w:val="32"/>
          <w:highlight w:val="none"/>
        </w:rPr>
        <w:t>存在，各类事故隐患和安全风险交织叠加，安全生产基础依然薄弱。三是城市规模日益扩大，结构日趋复杂，城市建设、生命线工程、危旧房屋、电梯设备以及人员密集场所等安全风险突出，城市安全管理难度增大。四是传统和新型生产经营方式并存，新工艺、新装备、新材料、新技术广泛应用，新基建加快推进，新业态大量涌现，增加了事故成因的数量，复合型事故有所增多，较大以上事故风险由传统高危行业领域向其他行业领域</w:t>
      </w:r>
      <w:r>
        <w:rPr>
          <w:rFonts w:hint="eastAsia" w:ascii="仿宋_GB2312" w:eastAsia="仿宋_GB2312"/>
          <w:color w:val="auto"/>
          <w:sz w:val="32"/>
          <w:szCs w:val="32"/>
          <w:highlight w:val="none"/>
          <w:lang w:eastAsia="zh-CN"/>
        </w:rPr>
        <w:t>扩展</w:t>
      </w:r>
      <w:r>
        <w:rPr>
          <w:rFonts w:hint="eastAsia" w:ascii="仿宋_GB2312" w:eastAsia="仿宋_GB2312"/>
          <w:color w:val="auto"/>
          <w:sz w:val="32"/>
          <w:szCs w:val="32"/>
          <w:highlight w:val="none"/>
        </w:rPr>
        <w:t>。五是安全监管能力与经济社会发展不相适应，企业主体责任落实有偏差、监管环节有漏洞、执法监督不到位等问题依然突出，安全生产监管执法的规范化、权威性亟待增强。</w:t>
      </w:r>
      <w:r>
        <w:rPr>
          <w:rFonts w:hint="eastAsia" w:ascii="仿宋_GB2312" w:eastAsia="仿宋_GB2312"/>
          <w:color w:val="auto"/>
          <w:sz w:val="32"/>
          <w:szCs w:val="32"/>
          <w:highlight w:val="none"/>
          <w:lang w:eastAsia="zh-CN"/>
        </w:rPr>
        <w:t>同时，</w:t>
      </w:r>
      <w:r>
        <w:rPr>
          <w:rFonts w:eastAsia="仿宋_GB2312"/>
          <w:color w:val="auto"/>
          <w:sz w:val="32"/>
          <w:szCs w:val="32"/>
          <w:highlight w:val="none"/>
        </w:rPr>
        <w:t>因新冠疫情等因素导致宏观经济形势下行压力加大，企业生产经营制约因素增多，给我</w:t>
      </w:r>
      <w:r>
        <w:rPr>
          <w:rFonts w:hint="eastAsia" w:eastAsia="仿宋_GB2312"/>
          <w:color w:val="auto"/>
          <w:sz w:val="32"/>
          <w:szCs w:val="32"/>
          <w:highlight w:val="none"/>
          <w:lang w:eastAsia="zh-CN"/>
        </w:rPr>
        <w:t>市</w:t>
      </w:r>
      <w:r>
        <w:rPr>
          <w:rFonts w:eastAsia="仿宋_GB2312"/>
          <w:color w:val="auto"/>
          <w:sz w:val="32"/>
          <w:szCs w:val="32"/>
          <w:highlight w:val="none"/>
        </w:rPr>
        <w:t>安全生产工作带来了新的变数。</w:t>
      </w:r>
    </w:p>
    <w:p>
      <w:pPr>
        <w:spacing w:line="580" w:lineRule="exact"/>
        <w:ind w:firstLine="642" w:firstLineChars="200"/>
        <w:rPr>
          <w:rFonts w:hint="eastAsia" w:ascii="仿宋_GB2312" w:eastAsia="仿宋_GB2312"/>
          <w:color w:val="auto"/>
          <w:sz w:val="32"/>
          <w:szCs w:val="32"/>
          <w:highlight w:val="none"/>
        </w:rPr>
      </w:pPr>
      <w:r>
        <w:rPr>
          <w:rFonts w:hint="eastAsia" w:ascii="Arial" w:hAnsi="Arial" w:eastAsia="楷体"/>
          <w:b/>
          <w:color w:val="auto"/>
          <w:sz w:val="32"/>
          <w:highlight w:val="none"/>
          <w:lang w:val="en-US" w:eastAsia="zh-CN"/>
        </w:rPr>
        <w:t>2.</w:t>
      </w:r>
      <w:r>
        <w:rPr>
          <w:rFonts w:hint="eastAsia" w:ascii="Arial" w:hAnsi="Arial" w:eastAsia="楷体"/>
          <w:b/>
          <w:color w:val="auto"/>
          <w:sz w:val="32"/>
          <w:highlight w:val="none"/>
          <w:lang w:eastAsia="zh-CN"/>
        </w:rPr>
        <w:t>面临</w:t>
      </w:r>
      <w:r>
        <w:rPr>
          <w:rFonts w:hint="eastAsia" w:ascii="Arial" w:hAnsi="Arial" w:eastAsia="楷体"/>
          <w:b/>
          <w:color w:val="auto"/>
          <w:sz w:val="32"/>
          <w:highlight w:val="none"/>
        </w:rPr>
        <w:t>机遇</w:t>
      </w:r>
      <w:r>
        <w:rPr>
          <w:rFonts w:hint="eastAsia" w:ascii="仿宋_GB2312" w:eastAsia="仿宋_GB2312"/>
          <w:color w:val="auto"/>
          <w:sz w:val="32"/>
          <w:szCs w:val="32"/>
          <w:highlight w:val="none"/>
        </w:rPr>
        <w:t>。</w:t>
      </w:r>
      <w:r>
        <w:rPr>
          <w:rFonts w:eastAsia="仿宋_GB2312"/>
          <w:color w:val="auto"/>
          <w:sz w:val="32"/>
          <w:szCs w:val="32"/>
          <w:highlight w:val="none"/>
        </w:rPr>
        <w:t>“十四五”时期，安全生产工作仍然面临重要的战略机遇</w:t>
      </w:r>
      <w:r>
        <w:rPr>
          <w:rFonts w:hint="eastAsia" w:ascii="仿宋_GB2312" w:eastAsia="仿宋_GB2312"/>
          <w:color w:val="auto"/>
          <w:sz w:val="32"/>
          <w:szCs w:val="32"/>
          <w:highlight w:val="none"/>
        </w:rPr>
        <w:t>。</w:t>
      </w:r>
      <w:r>
        <w:rPr>
          <w:rFonts w:hint="eastAsia" w:ascii="仿宋_GB2312" w:eastAsia="仿宋_GB2312"/>
          <w:bCs/>
          <w:color w:val="auto"/>
          <w:sz w:val="32"/>
          <w:szCs w:val="32"/>
          <w:highlight w:val="none"/>
        </w:rPr>
        <w:t>一是党中央、国务院高度重视安全生产工作，作出一系列重大决策部署，深入推进安全生产领域改革发展，为安全生产提供强大政策支持；各级党委政府加强领导，强化监管，狠抓安全生产责任落实，为安全生产工作提供有力组织保障。二是随着“四个全面”战略布局持续推进，五大发展理念深入人心，社会治理能力不断提高，全社会文明素质、安全意识和法治观念加快提升，安全发展的社会环境进一步优化。三是</w:t>
      </w:r>
      <w:r>
        <w:rPr>
          <w:rFonts w:hint="eastAsia" w:ascii="仿宋_GB2312" w:eastAsia="仿宋_GB2312"/>
          <w:color w:val="auto"/>
          <w:sz w:val="32"/>
          <w:szCs w:val="32"/>
          <w:highlight w:val="none"/>
          <w:lang w:eastAsia="zh-CN"/>
        </w:rPr>
        <w:t>随着新旧动能转换和长三角一体化发展，全市</w:t>
      </w:r>
      <w:r>
        <w:rPr>
          <w:rFonts w:hint="eastAsia" w:ascii="仿宋_GB2312" w:eastAsia="仿宋_GB2312"/>
          <w:bCs/>
          <w:color w:val="auto"/>
          <w:sz w:val="32"/>
          <w:szCs w:val="32"/>
          <w:highlight w:val="none"/>
        </w:rPr>
        <w:t>经济社会</w:t>
      </w:r>
      <w:r>
        <w:rPr>
          <w:rFonts w:hint="eastAsia" w:ascii="仿宋_GB2312" w:eastAsia="仿宋_GB2312"/>
          <w:color w:val="auto"/>
          <w:sz w:val="32"/>
          <w:szCs w:val="32"/>
          <w:highlight w:val="none"/>
        </w:rPr>
        <w:t>发展提质增效、产业结构优化升级、科技创新快速发展，将加快淘汰落后工艺、技术、装备和产能，有利于降低安全风险，提高本质安全水平。四是人民群众日益增长的安全需求，以及全社会对安全生产工作的高度关注，为推动安全生产工作提供了巨大动力和能量。</w:t>
      </w:r>
    </w:p>
    <w:p>
      <w:pPr>
        <w:pStyle w:val="3"/>
        <w:spacing w:before="0" w:after="0" w:line="580" w:lineRule="exact"/>
        <w:ind w:firstLine="640" w:firstLineChars="200"/>
        <w:rPr>
          <w:rFonts w:ascii="Times New Roman" w:hAnsi="Times New Roman" w:eastAsia="黑体"/>
          <w:b w:val="0"/>
          <w:bCs w:val="0"/>
          <w:color w:val="auto"/>
          <w:sz w:val="32"/>
          <w:szCs w:val="32"/>
          <w:highlight w:val="none"/>
        </w:rPr>
      </w:pPr>
      <w:bookmarkStart w:id="9" w:name="_Toc48920560"/>
      <w:r>
        <w:rPr>
          <w:rFonts w:ascii="Times New Roman" w:hAnsi="Times New Roman" w:eastAsia="黑体"/>
          <w:b w:val="0"/>
          <w:bCs w:val="0"/>
          <w:color w:val="auto"/>
          <w:sz w:val="32"/>
          <w:szCs w:val="32"/>
          <w:highlight w:val="none"/>
        </w:rPr>
        <w:t>二、指导思想、基本原则与规划目标</w:t>
      </w:r>
      <w:bookmarkEnd w:id="9"/>
    </w:p>
    <w:p>
      <w:pPr>
        <w:pStyle w:val="4"/>
        <w:spacing w:before="0" w:after="0" w:line="580" w:lineRule="exact"/>
        <w:ind w:firstLine="642" w:firstLineChars="200"/>
        <w:rPr>
          <w:rFonts w:ascii="Times New Roman" w:hAnsi="Times New Roman" w:eastAsia="楷体_GB2312"/>
          <w:color w:val="auto"/>
          <w:highlight w:val="none"/>
        </w:rPr>
      </w:pPr>
      <w:bookmarkStart w:id="10" w:name="_Toc48920561"/>
      <w:r>
        <w:rPr>
          <w:rFonts w:ascii="Times New Roman" w:hAnsi="Times New Roman" w:eastAsia="楷体_GB2312"/>
          <w:color w:val="auto"/>
          <w:highlight w:val="none"/>
        </w:rPr>
        <w:t>（一）指导思想</w:t>
      </w:r>
      <w:bookmarkEnd w:id="10"/>
    </w:p>
    <w:p>
      <w:pPr>
        <w:spacing w:line="580" w:lineRule="exact"/>
        <w:ind w:firstLine="640" w:firstLineChars="200"/>
        <w:rPr>
          <w:rFonts w:eastAsia="仿宋_GB2312"/>
          <w:color w:val="auto"/>
          <w:sz w:val="32"/>
          <w:szCs w:val="32"/>
          <w:highlight w:val="none"/>
        </w:rPr>
      </w:pPr>
      <w:r>
        <w:rPr>
          <w:rFonts w:eastAsia="仿宋_GB2312"/>
          <w:color w:val="auto"/>
          <w:sz w:val="32"/>
          <w:szCs w:val="32"/>
          <w:highlight w:val="none"/>
        </w:rPr>
        <w:t>以习近平新时代中国特色社会主义思想为指引，深入贯彻党的十九大和十九届二中、三中、四中、五中全会精神，认真贯彻落实习近平总书记考察安徽重要讲话指示精神和关于</w:t>
      </w:r>
      <w:r>
        <w:rPr>
          <w:rFonts w:hint="eastAsia" w:eastAsia="仿宋_GB2312"/>
          <w:color w:val="auto"/>
          <w:sz w:val="32"/>
          <w:szCs w:val="32"/>
          <w:highlight w:val="none"/>
        </w:rPr>
        <w:t>安全生产一系列</w:t>
      </w:r>
      <w:r>
        <w:rPr>
          <w:rFonts w:eastAsia="仿宋_GB2312"/>
          <w:color w:val="auto"/>
          <w:sz w:val="32"/>
          <w:szCs w:val="32"/>
          <w:highlight w:val="none"/>
        </w:rPr>
        <w:t>重要论述，按照省委、省政府决策部署，立足新发展阶段，贯彻新发展理念，紧紧围绕构建新发展格局，准确把握新形势新挑战新要求，坚持人民至上、生命至上，更好统筹发展和安全，以推动高质量发展为主题，以推进“铸安”行动常态化实效化和风险管控“六项机制”制度化规范化为抓手，以改革创新为根本动力，以满足人民日益增长的安全需要为根本目的，全力防范化解安全生产系统性风险，解决重点行业领域瓶颈性、根源性、本质性安全问题，从根本上消除事故隐患</w:t>
      </w:r>
      <w:r>
        <w:rPr>
          <w:rFonts w:hint="eastAsia" w:eastAsia="仿宋_GB2312"/>
          <w:color w:val="auto"/>
          <w:sz w:val="32"/>
          <w:szCs w:val="32"/>
          <w:highlight w:val="none"/>
        </w:rPr>
        <w:t>、从根本上解决问题</w:t>
      </w:r>
      <w:r>
        <w:rPr>
          <w:rFonts w:eastAsia="仿宋_GB2312"/>
          <w:color w:val="auto"/>
          <w:sz w:val="32"/>
          <w:szCs w:val="32"/>
          <w:highlight w:val="none"/>
        </w:rPr>
        <w:t>，推进安全生产治理体系和治理能力现代化，实现安全生产精准治理，为全面开启经济强、百姓富、生态美的新阶段现代化美好安徽建设创造安全稳定的环境，不断增强人民群众的获得感、幸福感、安全感。</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w:t>
      </w:r>
      <w:r>
        <w:rPr>
          <w:rFonts w:hint="eastAsia" w:ascii="楷体_GB2312" w:eastAsia="楷体_GB2312"/>
          <w:color w:val="auto"/>
          <w:sz w:val="32"/>
          <w:szCs w:val="32"/>
          <w:highlight w:val="none"/>
        </w:rPr>
        <w:t>应急</w:t>
      </w:r>
      <w:r>
        <w:rPr>
          <w:rFonts w:hint="eastAsia" w:ascii="楷体_GB2312" w:eastAsia="楷体_GB2312"/>
          <w:color w:val="auto"/>
          <w:sz w:val="32"/>
          <w:szCs w:val="32"/>
          <w:highlight w:val="none"/>
          <w:lang w:eastAsia="zh-CN"/>
        </w:rPr>
        <w:t>局综合协调科</w:t>
      </w:r>
      <w:r>
        <w:rPr>
          <w:rFonts w:hint="eastAsia" w:ascii="楷体_GB2312" w:eastAsia="楷体_GB2312"/>
          <w:color w:val="auto"/>
          <w:sz w:val="32"/>
          <w:szCs w:val="32"/>
          <w:highlight w:val="none"/>
        </w:rPr>
        <w:t>牵头完善）</w:t>
      </w:r>
    </w:p>
    <w:p>
      <w:pPr>
        <w:pStyle w:val="4"/>
        <w:spacing w:before="0" w:after="0" w:line="580" w:lineRule="exact"/>
        <w:ind w:firstLine="642" w:firstLineChars="200"/>
        <w:rPr>
          <w:rFonts w:ascii="Times New Roman" w:hAnsi="Times New Roman" w:eastAsia="楷体_GB2312"/>
          <w:color w:val="auto"/>
          <w:highlight w:val="none"/>
        </w:rPr>
      </w:pPr>
      <w:bookmarkStart w:id="11" w:name="_Toc48920562"/>
      <w:r>
        <w:rPr>
          <w:rFonts w:ascii="Times New Roman" w:hAnsi="Times New Roman" w:eastAsia="楷体_GB2312"/>
          <w:color w:val="auto"/>
          <w:highlight w:val="none"/>
        </w:rPr>
        <w:t>（二）基本原则</w:t>
      </w:r>
      <w:bookmarkEnd w:id="11"/>
    </w:p>
    <w:p>
      <w:pPr>
        <w:spacing w:line="580" w:lineRule="exact"/>
        <w:ind w:firstLine="640" w:firstLineChars="200"/>
        <w:rPr>
          <w:rFonts w:eastAsia="仿宋_GB2312"/>
          <w:color w:val="auto"/>
          <w:sz w:val="32"/>
          <w:szCs w:val="32"/>
          <w:highlight w:val="none"/>
        </w:rPr>
      </w:pPr>
      <w:r>
        <w:rPr>
          <w:rFonts w:eastAsia="楷体_GB2312"/>
          <w:color w:val="auto"/>
          <w:sz w:val="32"/>
          <w:szCs w:val="32"/>
          <w:highlight w:val="none"/>
        </w:rPr>
        <w:t>——</w:t>
      </w:r>
      <w:r>
        <w:rPr>
          <w:rFonts w:hint="eastAsia" w:eastAsia="楷体_GB2312"/>
          <w:color w:val="auto"/>
          <w:sz w:val="32"/>
          <w:szCs w:val="32"/>
          <w:highlight w:val="none"/>
        </w:rPr>
        <w:t>系统谋划，标本兼治。</w:t>
      </w:r>
      <w:r>
        <w:rPr>
          <w:rFonts w:hint="eastAsia" w:eastAsia="仿宋_GB2312"/>
          <w:color w:val="auto"/>
          <w:sz w:val="32"/>
          <w:szCs w:val="32"/>
          <w:highlight w:val="none"/>
        </w:rPr>
        <w:t>坚持立足当前与着眼长远相结合，统筹发展和安全，将安全发展贯穿于经济社会发展各领域和全过程，努力塑造与安全发展相适应的生产生活方式，不断优化安全布局，更好地实现发展质量、结构、规模、速度、效益、安全相统一。</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w:t>
      </w:r>
      <w:r>
        <w:rPr>
          <w:rFonts w:hint="eastAsia" w:ascii="楷体_GB2312" w:eastAsia="楷体_GB2312"/>
          <w:color w:val="auto"/>
          <w:sz w:val="32"/>
          <w:szCs w:val="32"/>
          <w:highlight w:val="none"/>
        </w:rPr>
        <w:t>应急</w:t>
      </w:r>
      <w:r>
        <w:rPr>
          <w:rFonts w:hint="eastAsia" w:ascii="楷体_GB2312" w:eastAsia="楷体_GB2312"/>
          <w:color w:val="auto"/>
          <w:sz w:val="32"/>
          <w:szCs w:val="32"/>
          <w:highlight w:val="none"/>
          <w:lang w:eastAsia="zh-CN"/>
        </w:rPr>
        <w:t>局综合协调科</w:t>
      </w:r>
      <w:r>
        <w:rPr>
          <w:rFonts w:hint="eastAsia" w:ascii="楷体_GB2312" w:eastAsia="楷体_GB2312"/>
          <w:color w:val="auto"/>
          <w:sz w:val="32"/>
          <w:szCs w:val="32"/>
          <w:highlight w:val="none"/>
        </w:rPr>
        <w:t>牵头完善）</w:t>
      </w:r>
    </w:p>
    <w:p>
      <w:pPr>
        <w:spacing w:line="580" w:lineRule="exact"/>
        <w:ind w:firstLine="640" w:firstLineChars="200"/>
        <w:rPr>
          <w:rFonts w:eastAsia="仿宋_GB2312"/>
          <w:color w:val="auto"/>
          <w:sz w:val="32"/>
          <w:szCs w:val="32"/>
          <w:highlight w:val="none"/>
        </w:rPr>
      </w:pPr>
      <w:r>
        <w:rPr>
          <w:rFonts w:eastAsia="楷体_GB2312"/>
          <w:color w:val="auto"/>
          <w:sz w:val="32"/>
          <w:szCs w:val="32"/>
          <w:highlight w:val="none"/>
        </w:rPr>
        <w:t>——</w:t>
      </w:r>
      <w:r>
        <w:rPr>
          <w:rFonts w:hint="eastAsia" w:eastAsia="楷体_GB2312"/>
          <w:color w:val="auto"/>
          <w:sz w:val="32"/>
          <w:szCs w:val="32"/>
          <w:highlight w:val="none"/>
        </w:rPr>
        <w:t>风险防控，精准施治。</w:t>
      </w:r>
      <w:r>
        <w:rPr>
          <w:rFonts w:hint="eastAsia" w:eastAsia="仿宋_GB2312"/>
          <w:color w:val="auto"/>
          <w:sz w:val="32"/>
          <w:szCs w:val="32"/>
          <w:highlight w:val="none"/>
        </w:rPr>
        <w:t>坚持目标导向和问题导向，瞄准重大安全风险及挑战，在补短板、堵漏洞、强弱项上精准发力，加快实施一批重大政策和重大工程，强化安全生产基础，有效从源头上消除和管控风险，做到预警发布要精准、抢险救援要精准、监管执法要精准。</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w:t>
      </w:r>
      <w:r>
        <w:rPr>
          <w:rFonts w:hint="eastAsia" w:ascii="楷体_GB2312" w:eastAsia="楷体_GB2312"/>
          <w:color w:val="auto"/>
          <w:sz w:val="32"/>
          <w:szCs w:val="32"/>
          <w:highlight w:val="none"/>
        </w:rPr>
        <w:t>应急</w:t>
      </w:r>
      <w:r>
        <w:rPr>
          <w:rFonts w:hint="eastAsia" w:ascii="楷体_GB2312" w:eastAsia="楷体_GB2312"/>
          <w:color w:val="auto"/>
          <w:sz w:val="32"/>
          <w:szCs w:val="32"/>
          <w:highlight w:val="none"/>
          <w:lang w:eastAsia="zh-CN"/>
        </w:rPr>
        <w:t>局综合协调科</w:t>
      </w:r>
      <w:r>
        <w:rPr>
          <w:rFonts w:hint="eastAsia" w:ascii="楷体_GB2312" w:eastAsia="楷体_GB2312"/>
          <w:color w:val="auto"/>
          <w:sz w:val="32"/>
          <w:szCs w:val="32"/>
          <w:highlight w:val="none"/>
        </w:rPr>
        <w:t>牵头完善）</w:t>
      </w:r>
    </w:p>
    <w:p>
      <w:pPr>
        <w:spacing w:line="580" w:lineRule="exact"/>
        <w:ind w:firstLine="640" w:firstLineChars="200"/>
        <w:rPr>
          <w:rFonts w:eastAsia="仿宋_GB2312"/>
          <w:color w:val="auto"/>
          <w:sz w:val="32"/>
          <w:szCs w:val="32"/>
          <w:highlight w:val="none"/>
        </w:rPr>
      </w:pPr>
      <w:r>
        <w:rPr>
          <w:rFonts w:eastAsia="楷体_GB2312"/>
          <w:color w:val="auto"/>
          <w:sz w:val="32"/>
          <w:szCs w:val="32"/>
          <w:highlight w:val="none"/>
        </w:rPr>
        <w:t>——</w:t>
      </w:r>
      <w:r>
        <w:rPr>
          <w:rFonts w:hint="eastAsia" w:eastAsia="楷体_GB2312"/>
          <w:color w:val="auto"/>
          <w:sz w:val="32"/>
          <w:szCs w:val="32"/>
          <w:highlight w:val="none"/>
        </w:rPr>
        <w:t>改革创新，强化法治。</w:t>
      </w:r>
      <w:r>
        <w:rPr>
          <w:rFonts w:hint="eastAsia" w:eastAsia="仿宋_GB2312"/>
          <w:color w:val="auto"/>
          <w:sz w:val="32"/>
          <w:szCs w:val="32"/>
          <w:highlight w:val="none"/>
        </w:rPr>
        <w:t>坚持运用法治思维和法治方式提高安全生产法治化、规范化水平，深化安全生产体制机制改革，加快形成系统完整、责权清晰、监管高效的安全生产治理制度体系</w:t>
      </w:r>
      <w:r>
        <w:rPr>
          <w:rFonts w:eastAsia="仿宋_GB2312"/>
          <w:color w:val="auto"/>
          <w:sz w:val="32"/>
          <w:szCs w:val="32"/>
          <w:highlight w:val="none"/>
        </w:rPr>
        <w:t>;深入推进科学立法、严格执法、公正司法、全民守法，依靠法治筑牢安全生产屏障。</w:t>
      </w:r>
      <w:r>
        <w:rPr>
          <w:rFonts w:hint="eastAsia" w:ascii="楷体_GB2312" w:eastAsia="楷体_GB2312"/>
          <w:color w:val="auto"/>
          <w:sz w:val="32"/>
          <w:szCs w:val="32"/>
          <w:highlight w:val="none"/>
          <w:lang w:eastAsia="zh-CN"/>
        </w:rPr>
        <w:t>市</w:t>
      </w:r>
      <w:r>
        <w:rPr>
          <w:rFonts w:hint="eastAsia" w:ascii="楷体_GB2312" w:eastAsia="楷体_GB2312"/>
          <w:color w:val="auto"/>
          <w:sz w:val="32"/>
          <w:szCs w:val="32"/>
          <w:highlight w:val="none"/>
        </w:rPr>
        <w:t>应急</w:t>
      </w:r>
      <w:r>
        <w:rPr>
          <w:rFonts w:hint="eastAsia" w:ascii="楷体_GB2312" w:eastAsia="楷体_GB2312"/>
          <w:color w:val="auto"/>
          <w:sz w:val="32"/>
          <w:szCs w:val="32"/>
          <w:highlight w:val="none"/>
          <w:lang w:eastAsia="zh-CN"/>
        </w:rPr>
        <w:t>局综合协调科</w:t>
      </w:r>
      <w:r>
        <w:rPr>
          <w:rFonts w:hint="eastAsia" w:ascii="楷体_GB2312" w:eastAsia="楷体_GB2312"/>
          <w:color w:val="auto"/>
          <w:sz w:val="32"/>
          <w:szCs w:val="32"/>
          <w:highlight w:val="none"/>
        </w:rPr>
        <w:t>牵头完善）</w:t>
      </w:r>
    </w:p>
    <w:p>
      <w:pPr>
        <w:spacing w:line="580" w:lineRule="exact"/>
        <w:ind w:firstLine="640" w:firstLineChars="200"/>
        <w:rPr>
          <w:rFonts w:eastAsia="仿宋_GB2312"/>
          <w:color w:val="auto"/>
          <w:sz w:val="32"/>
          <w:szCs w:val="32"/>
          <w:highlight w:val="none"/>
        </w:rPr>
      </w:pPr>
      <w:r>
        <w:rPr>
          <w:rFonts w:eastAsia="楷体_GB2312"/>
          <w:color w:val="auto"/>
          <w:sz w:val="32"/>
          <w:szCs w:val="32"/>
          <w:highlight w:val="none"/>
        </w:rPr>
        <w:t>——</w:t>
      </w:r>
      <w:r>
        <w:rPr>
          <w:rFonts w:hint="eastAsia" w:eastAsia="楷体_GB2312"/>
          <w:color w:val="auto"/>
          <w:sz w:val="32"/>
          <w:szCs w:val="32"/>
          <w:highlight w:val="none"/>
        </w:rPr>
        <w:t>广泛参与，社会共治。</w:t>
      </w:r>
      <w:r>
        <w:rPr>
          <w:rFonts w:hint="eastAsia" w:eastAsia="仿宋_GB2312"/>
          <w:color w:val="auto"/>
          <w:sz w:val="32"/>
          <w:szCs w:val="32"/>
          <w:highlight w:val="none"/>
        </w:rPr>
        <w:t>坚持群众观点和群众路线，充分发挥好社会力量的作用，动员全社会积极参与安全生产工作，积极推进安全风险网格化管理，进一步压实企业主体责任，构建企业负责、职工参与、政府监管、行业自律、社会监督的安全生产治理格局。</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w:t>
      </w:r>
      <w:r>
        <w:rPr>
          <w:rFonts w:hint="eastAsia" w:ascii="楷体_GB2312" w:eastAsia="楷体_GB2312"/>
          <w:color w:val="auto"/>
          <w:sz w:val="32"/>
          <w:szCs w:val="32"/>
          <w:highlight w:val="none"/>
        </w:rPr>
        <w:t>应急</w:t>
      </w:r>
      <w:r>
        <w:rPr>
          <w:rFonts w:hint="eastAsia" w:ascii="楷体_GB2312" w:eastAsia="楷体_GB2312"/>
          <w:color w:val="auto"/>
          <w:sz w:val="32"/>
          <w:szCs w:val="32"/>
          <w:highlight w:val="none"/>
          <w:lang w:eastAsia="zh-CN"/>
        </w:rPr>
        <w:t>局综合协调科</w:t>
      </w:r>
      <w:r>
        <w:rPr>
          <w:rFonts w:hint="eastAsia" w:ascii="楷体_GB2312" w:eastAsia="楷体_GB2312"/>
          <w:color w:val="auto"/>
          <w:sz w:val="32"/>
          <w:szCs w:val="32"/>
          <w:highlight w:val="none"/>
        </w:rPr>
        <w:t>牵头完善）</w:t>
      </w:r>
    </w:p>
    <w:p>
      <w:pPr>
        <w:pStyle w:val="4"/>
        <w:spacing w:before="0" w:after="0" w:line="580" w:lineRule="exact"/>
        <w:ind w:firstLine="642" w:firstLineChars="200"/>
        <w:rPr>
          <w:rFonts w:ascii="Times New Roman" w:hAnsi="Times New Roman" w:eastAsia="楷体_GB2312"/>
          <w:color w:val="auto"/>
          <w:highlight w:val="none"/>
        </w:rPr>
      </w:pPr>
      <w:bookmarkStart w:id="12" w:name="_Toc48920563"/>
      <w:r>
        <w:rPr>
          <w:rFonts w:ascii="Times New Roman" w:hAnsi="Times New Roman" w:eastAsia="楷体_GB2312"/>
          <w:color w:val="auto"/>
          <w:highlight w:val="none"/>
        </w:rPr>
        <w:t>（三）规划目标</w:t>
      </w:r>
      <w:bookmarkEnd w:id="12"/>
    </w:p>
    <w:p>
      <w:pPr>
        <w:spacing w:line="580" w:lineRule="exact"/>
        <w:ind w:firstLine="640" w:firstLineChars="200"/>
        <w:rPr>
          <w:rFonts w:eastAsia="仿宋_GB2312"/>
          <w:color w:val="auto"/>
          <w:sz w:val="32"/>
          <w:szCs w:val="32"/>
          <w:highlight w:val="none"/>
        </w:rPr>
      </w:pPr>
      <w:r>
        <w:rPr>
          <w:rFonts w:eastAsia="仿宋_GB2312"/>
          <w:color w:val="auto"/>
          <w:sz w:val="32"/>
          <w:szCs w:val="32"/>
          <w:highlight w:val="none"/>
        </w:rPr>
        <w:t>到2025年，安全风险防控体系基本建立，安全生产治理体系和治理能力现代化取得重大进展，重大安全风险得到有效控制，重特大事故得到根本遏制，安全生产事故总量持续下降，安全生产状况趋稳向好，人民群众安全感明显增强。</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w:t>
      </w:r>
      <w:r>
        <w:rPr>
          <w:rFonts w:hint="eastAsia" w:ascii="楷体_GB2312" w:eastAsia="楷体_GB2312"/>
          <w:color w:val="auto"/>
          <w:sz w:val="32"/>
          <w:szCs w:val="32"/>
          <w:highlight w:val="none"/>
        </w:rPr>
        <w:t>应急</w:t>
      </w:r>
      <w:r>
        <w:rPr>
          <w:rFonts w:hint="eastAsia" w:ascii="楷体_GB2312" w:eastAsia="楷体_GB2312"/>
          <w:color w:val="auto"/>
          <w:sz w:val="32"/>
          <w:szCs w:val="32"/>
          <w:highlight w:val="none"/>
          <w:lang w:eastAsia="zh-CN"/>
        </w:rPr>
        <w:t>局综合协调科牵头</w:t>
      </w:r>
      <w:r>
        <w:rPr>
          <w:rFonts w:hint="eastAsia" w:ascii="楷体_GB2312" w:eastAsia="楷体_GB2312"/>
          <w:color w:val="auto"/>
          <w:sz w:val="32"/>
          <w:szCs w:val="32"/>
          <w:highlight w:val="none"/>
        </w:rPr>
        <w:t>完善）</w:t>
      </w:r>
    </w:p>
    <w:tbl>
      <w:tblPr>
        <w:tblStyle w:val="6"/>
        <w:tblW w:w="8448" w:type="dxa"/>
        <w:jc w:val="center"/>
        <w:tblBorders>
          <w:top w:val="single" w:color="000000" w:sz="8" w:space="0"/>
          <w:left w:val="single" w:color="000000" w:sz="8" w:space="0"/>
          <w:bottom w:val="single" w:color="000000" w:sz="8" w:space="0"/>
          <w:right w:val="single" w:color="000000" w:sz="8" w:space="0"/>
          <w:insideH w:val="dotted" w:color="000000" w:sz="4" w:space="0"/>
          <w:insideV w:val="dotted" w:color="000000" w:sz="4" w:space="0"/>
        </w:tblBorders>
        <w:tblLayout w:type="autofit"/>
        <w:tblCellMar>
          <w:top w:w="0" w:type="dxa"/>
          <w:left w:w="108" w:type="dxa"/>
          <w:bottom w:w="0" w:type="dxa"/>
          <w:right w:w="108" w:type="dxa"/>
        </w:tblCellMar>
      </w:tblPr>
      <w:tblGrid>
        <w:gridCol w:w="1098"/>
        <w:gridCol w:w="5967"/>
        <w:gridCol w:w="1383"/>
      </w:tblGrid>
      <w:tr>
        <w:tblPrEx>
          <w:tblBorders>
            <w:top w:val="single" w:color="000000" w:sz="8" w:space="0"/>
            <w:left w:val="single" w:color="000000" w:sz="8" w:space="0"/>
            <w:bottom w:val="single" w:color="000000" w:sz="8" w:space="0"/>
            <w:right w:val="single" w:color="000000" w:sz="8" w:space="0"/>
            <w:insideH w:val="dotted" w:color="000000" w:sz="4" w:space="0"/>
            <w:insideV w:val="dotted" w:color="000000" w:sz="4" w:space="0"/>
          </w:tblBorders>
          <w:tblCellMar>
            <w:top w:w="0" w:type="dxa"/>
            <w:left w:w="108" w:type="dxa"/>
            <w:bottom w:w="0" w:type="dxa"/>
            <w:right w:w="108" w:type="dxa"/>
          </w:tblCellMar>
        </w:tblPrEx>
        <w:trPr>
          <w:trHeight w:val="142" w:hRule="atLeast"/>
          <w:jc w:val="center"/>
        </w:trPr>
        <w:tc>
          <w:tcPr>
            <w:tcW w:w="8448" w:type="dxa"/>
            <w:gridSpan w:val="3"/>
            <w:noWrap w:val="0"/>
            <w:vAlign w:val="center"/>
          </w:tcPr>
          <w:p>
            <w:pPr>
              <w:spacing w:line="400" w:lineRule="exact"/>
              <w:jc w:val="center"/>
              <w:rPr>
                <w:rFonts w:eastAsia="黑体"/>
                <w:bCs/>
                <w:color w:val="auto"/>
                <w:sz w:val="28"/>
                <w:szCs w:val="28"/>
                <w:highlight w:val="none"/>
              </w:rPr>
            </w:pPr>
            <w:r>
              <w:rPr>
                <w:rFonts w:eastAsia="黑体"/>
                <w:bCs/>
                <w:color w:val="auto"/>
                <w:sz w:val="28"/>
                <w:szCs w:val="28"/>
                <w:highlight w:val="none"/>
              </w:rPr>
              <w:t>专栏1  “十四五”安全生产工作主要指标</w:t>
            </w:r>
          </w:p>
        </w:tc>
      </w:tr>
      <w:tr>
        <w:tblPrEx>
          <w:tblBorders>
            <w:top w:val="single" w:color="000000" w:sz="8" w:space="0"/>
            <w:left w:val="single" w:color="000000" w:sz="8" w:space="0"/>
            <w:bottom w:val="single" w:color="000000" w:sz="8" w:space="0"/>
            <w:right w:val="single" w:color="000000" w:sz="8" w:space="0"/>
            <w:insideH w:val="dotted" w:color="000000" w:sz="4" w:space="0"/>
            <w:insideV w:val="dotted" w:color="000000" w:sz="4" w:space="0"/>
          </w:tblBorders>
          <w:tblCellMar>
            <w:top w:w="0" w:type="dxa"/>
            <w:left w:w="108" w:type="dxa"/>
            <w:bottom w:w="0" w:type="dxa"/>
            <w:right w:w="108" w:type="dxa"/>
          </w:tblCellMar>
        </w:tblPrEx>
        <w:trPr>
          <w:trHeight w:val="142" w:hRule="atLeast"/>
          <w:jc w:val="center"/>
        </w:trPr>
        <w:tc>
          <w:tcPr>
            <w:tcW w:w="1098" w:type="dxa"/>
            <w:noWrap w:val="0"/>
            <w:vAlign w:val="center"/>
          </w:tcPr>
          <w:p>
            <w:pPr>
              <w:spacing w:line="400" w:lineRule="exact"/>
              <w:jc w:val="center"/>
              <w:rPr>
                <w:rFonts w:eastAsia="楷体_GB2312"/>
                <w:b/>
                <w:color w:val="auto"/>
                <w:sz w:val="28"/>
                <w:szCs w:val="28"/>
                <w:highlight w:val="none"/>
              </w:rPr>
            </w:pPr>
            <w:r>
              <w:rPr>
                <w:rFonts w:eastAsia="楷体_GB2312"/>
                <w:b/>
                <w:color w:val="auto"/>
                <w:sz w:val="28"/>
                <w:szCs w:val="28"/>
                <w:highlight w:val="none"/>
              </w:rPr>
              <w:t>序号</w:t>
            </w:r>
          </w:p>
        </w:tc>
        <w:tc>
          <w:tcPr>
            <w:tcW w:w="5967" w:type="dxa"/>
            <w:noWrap w:val="0"/>
            <w:vAlign w:val="center"/>
          </w:tcPr>
          <w:p>
            <w:pPr>
              <w:spacing w:line="400" w:lineRule="exact"/>
              <w:ind w:firstLine="560"/>
              <w:jc w:val="center"/>
              <w:rPr>
                <w:rFonts w:eastAsia="楷体_GB2312"/>
                <w:b/>
                <w:color w:val="auto"/>
                <w:sz w:val="28"/>
                <w:szCs w:val="28"/>
                <w:highlight w:val="none"/>
              </w:rPr>
            </w:pPr>
            <w:r>
              <w:rPr>
                <w:rFonts w:eastAsia="楷体_GB2312"/>
                <w:b/>
                <w:color w:val="auto"/>
                <w:sz w:val="28"/>
                <w:szCs w:val="28"/>
                <w:highlight w:val="none"/>
              </w:rPr>
              <w:t>指标名称</w:t>
            </w:r>
          </w:p>
        </w:tc>
        <w:tc>
          <w:tcPr>
            <w:tcW w:w="1383" w:type="dxa"/>
            <w:noWrap w:val="0"/>
            <w:vAlign w:val="center"/>
          </w:tcPr>
          <w:p>
            <w:pPr>
              <w:spacing w:line="400" w:lineRule="exact"/>
              <w:jc w:val="center"/>
              <w:rPr>
                <w:rFonts w:eastAsia="楷体_GB2312"/>
                <w:b/>
                <w:color w:val="auto"/>
                <w:sz w:val="28"/>
                <w:szCs w:val="28"/>
                <w:highlight w:val="none"/>
              </w:rPr>
            </w:pPr>
            <w:r>
              <w:rPr>
                <w:rFonts w:eastAsia="楷体_GB2312"/>
                <w:b/>
                <w:color w:val="auto"/>
                <w:sz w:val="28"/>
                <w:szCs w:val="28"/>
                <w:highlight w:val="none"/>
              </w:rPr>
              <w:t>降幅</w:t>
            </w:r>
          </w:p>
        </w:tc>
      </w:tr>
      <w:tr>
        <w:tblPrEx>
          <w:tblBorders>
            <w:top w:val="single" w:color="000000" w:sz="8" w:space="0"/>
            <w:left w:val="single" w:color="000000" w:sz="8" w:space="0"/>
            <w:bottom w:val="single" w:color="000000" w:sz="8" w:space="0"/>
            <w:right w:val="single" w:color="000000" w:sz="8" w:space="0"/>
            <w:insideH w:val="dotted" w:color="000000" w:sz="4" w:space="0"/>
            <w:insideV w:val="dotted" w:color="000000" w:sz="4" w:space="0"/>
          </w:tblBorders>
          <w:tblCellMar>
            <w:top w:w="0" w:type="dxa"/>
            <w:left w:w="108" w:type="dxa"/>
            <w:bottom w:w="0" w:type="dxa"/>
            <w:right w:w="108" w:type="dxa"/>
          </w:tblCellMar>
        </w:tblPrEx>
        <w:trPr>
          <w:trHeight w:val="142" w:hRule="atLeast"/>
          <w:jc w:val="center"/>
        </w:trPr>
        <w:tc>
          <w:tcPr>
            <w:tcW w:w="1098" w:type="dxa"/>
            <w:noWrap w:val="0"/>
            <w:vAlign w:val="top"/>
          </w:tcPr>
          <w:p>
            <w:pPr>
              <w:spacing w:line="400" w:lineRule="exact"/>
              <w:ind w:firstLine="22"/>
              <w:jc w:val="center"/>
              <w:rPr>
                <w:rFonts w:eastAsia="仿宋_GB2312"/>
                <w:color w:val="auto"/>
                <w:sz w:val="28"/>
                <w:szCs w:val="28"/>
                <w:highlight w:val="none"/>
              </w:rPr>
            </w:pPr>
            <w:r>
              <w:rPr>
                <w:rFonts w:eastAsia="仿宋_GB2312"/>
                <w:color w:val="auto"/>
                <w:sz w:val="28"/>
                <w:szCs w:val="28"/>
                <w:highlight w:val="none"/>
              </w:rPr>
              <w:t>1</w:t>
            </w:r>
          </w:p>
        </w:tc>
        <w:tc>
          <w:tcPr>
            <w:tcW w:w="5967" w:type="dxa"/>
            <w:noWrap w:val="0"/>
            <w:vAlign w:val="center"/>
          </w:tcPr>
          <w:p>
            <w:pPr>
              <w:spacing w:line="400" w:lineRule="exact"/>
              <w:ind w:firstLine="64"/>
              <w:rPr>
                <w:rFonts w:eastAsia="仿宋_GB2312"/>
                <w:color w:val="auto"/>
                <w:kern w:val="0"/>
                <w:sz w:val="28"/>
                <w:szCs w:val="28"/>
                <w:highlight w:val="none"/>
              </w:rPr>
            </w:pPr>
            <w:r>
              <w:rPr>
                <w:rFonts w:eastAsia="仿宋_GB2312"/>
                <w:color w:val="auto"/>
                <w:kern w:val="0"/>
                <w:sz w:val="28"/>
                <w:szCs w:val="28"/>
                <w:highlight w:val="none"/>
              </w:rPr>
              <w:t>亿元国内生产总值生产安全事故死亡率</w:t>
            </w:r>
          </w:p>
        </w:tc>
        <w:tc>
          <w:tcPr>
            <w:tcW w:w="1383" w:type="dxa"/>
            <w:noWrap w:val="0"/>
            <w:vAlign w:val="top"/>
          </w:tcPr>
          <w:p>
            <w:pPr>
              <w:spacing w:line="400" w:lineRule="exact"/>
              <w:jc w:val="center"/>
              <w:rPr>
                <w:rFonts w:eastAsia="仿宋_GB2312"/>
                <w:color w:val="auto"/>
                <w:kern w:val="0"/>
                <w:sz w:val="28"/>
                <w:szCs w:val="28"/>
                <w:highlight w:val="none"/>
              </w:rPr>
            </w:pPr>
            <w:r>
              <w:rPr>
                <w:rFonts w:hint="eastAsia" w:eastAsia="仿宋_GB2312"/>
                <w:color w:val="auto"/>
                <w:kern w:val="0"/>
                <w:sz w:val="28"/>
                <w:szCs w:val="28"/>
                <w:highlight w:val="none"/>
                <w:lang w:val="en-US" w:eastAsia="zh-CN"/>
              </w:rPr>
              <w:t>10</w:t>
            </w:r>
            <w:r>
              <w:rPr>
                <w:rFonts w:eastAsia="仿宋_GB2312"/>
                <w:color w:val="auto"/>
                <w:kern w:val="0"/>
                <w:sz w:val="28"/>
                <w:szCs w:val="28"/>
                <w:highlight w:val="none"/>
              </w:rPr>
              <w:t>%</w:t>
            </w:r>
          </w:p>
        </w:tc>
      </w:tr>
      <w:tr>
        <w:tblPrEx>
          <w:tblBorders>
            <w:top w:val="single" w:color="000000" w:sz="8" w:space="0"/>
            <w:left w:val="single" w:color="000000" w:sz="8" w:space="0"/>
            <w:bottom w:val="single" w:color="000000" w:sz="8" w:space="0"/>
            <w:right w:val="single" w:color="000000" w:sz="8" w:space="0"/>
            <w:insideH w:val="dotted" w:color="000000" w:sz="4" w:space="0"/>
            <w:insideV w:val="dotted" w:color="000000" w:sz="4" w:space="0"/>
          </w:tblBorders>
          <w:tblCellMar>
            <w:top w:w="0" w:type="dxa"/>
            <w:left w:w="108" w:type="dxa"/>
            <w:bottom w:w="0" w:type="dxa"/>
            <w:right w:w="108" w:type="dxa"/>
          </w:tblCellMar>
        </w:tblPrEx>
        <w:trPr>
          <w:trHeight w:val="142" w:hRule="atLeast"/>
          <w:jc w:val="center"/>
        </w:trPr>
        <w:tc>
          <w:tcPr>
            <w:tcW w:w="1098" w:type="dxa"/>
            <w:noWrap w:val="0"/>
            <w:vAlign w:val="top"/>
          </w:tcPr>
          <w:p>
            <w:pPr>
              <w:spacing w:line="400" w:lineRule="exact"/>
              <w:ind w:firstLine="22"/>
              <w:jc w:val="center"/>
              <w:rPr>
                <w:rFonts w:eastAsia="仿宋_GB2312"/>
                <w:color w:val="auto"/>
                <w:sz w:val="28"/>
                <w:szCs w:val="28"/>
                <w:highlight w:val="none"/>
              </w:rPr>
            </w:pPr>
            <w:r>
              <w:rPr>
                <w:rFonts w:eastAsia="仿宋_GB2312"/>
                <w:color w:val="auto"/>
                <w:sz w:val="28"/>
                <w:szCs w:val="28"/>
                <w:highlight w:val="none"/>
              </w:rPr>
              <w:t>2</w:t>
            </w:r>
          </w:p>
        </w:tc>
        <w:tc>
          <w:tcPr>
            <w:tcW w:w="5967" w:type="dxa"/>
            <w:noWrap w:val="0"/>
            <w:vAlign w:val="top"/>
          </w:tcPr>
          <w:p>
            <w:pPr>
              <w:spacing w:line="400" w:lineRule="exact"/>
              <w:ind w:firstLine="64"/>
              <w:rPr>
                <w:rFonts w:eastAsia="仿宋_GB2312"/>
                <w:color w:val="auto"/>
                <w:kern w:val="0"/>
                <w:sz w:val="28"/>
                <w:szCs w:val="28"/>
                <w:highlight w:val="none"/>
              </w:rPr>
            </w:pPr>
            <w:r>
              <w:rPr>
                <w:rFonts w:eastAsia="仿宋_GB2312"/>
                <w:color w:val="auto"/>
                <w:sz w:val="28"/>
                <w:szCs w:val="28"/>
                <w:highlight w:val="none"/>
              </w:rPr>
              <w:t>生产安全事故死亡人数</w:t>
            </w:r>
          </w:p>
        </w:tc>
        <w:tc>
          <w:tcPr>
            <w:tcW w:w="1383" w:type="dxa"/>
            <w:noWrap w:val="0"/>
            <w:vAlign w:val="top"/>
          </w:tcPr>
          <w:p>
            <w:pPr>
              <w:spacing w:line="400" w:lineRule="exact"/>
              <w:jc w:val="center"/>
              <w:rPr>
                <w:rFonts w:eastAsia="仿宋_GB2312"/>
                <w:color w:val="auto"/>
                <w:kern w:val="0"/>
                <w:sz w:val="28"/>
                <w:szCs w:val="28"/>
                <w:highlight w:val="none"/>
              </w:rPr>
            </w:pPr>
            <w:r>
              <w:rPr>
                <w:rFonts w:hint="eastAsia" w:eastAsia="仿宋_GB2312"/>
                <w:color w:val="auto"/>
                <w:sz w:val="28"/>
                <w:szCs w:val="28"/>
                <w:highlight w:val="none"/>
                <w:lang w:val="en-US" w:eastAsia="zh-CN"/>
              </w:rPr>
              <w:t>10</w:t>
            </w:r>
            <w:r>
              <w:rPr>
                <w:rFonts w:eastAsia="仿宋_GB2312"/>
                <w:color w:val="auto"/>
                <w:sz w:val="28"/>
                <w:szCs w:val="28"/>
                <w:highlight w:val="none"/>
              </w:rPr>
              <w:t>%</w:t>
            </w:r>
          </w:p>
        </w:tc>
      </w:tr>
      <w:tr>
        <w:tblPrEx>
          <w:tblBorders>
            <w:top w:val="single" w:color="000000" w:sz="8" w:space="0"/>
            <w:left w:val="single" w:color="000000" w:sz="8" w:space="0"/>
            <w:bottom w:val="single" w:color="000000" w:sz="8" w:space="0"/>
            <w:right w:val="single" w:color="000000" w:sz="8" w:space="0"/>
            <w:insideH w:val="dotted" w:color="000000" w:sz="4" w:space="0"/>
            <w:insideV w:val="dotted" w:color="000000" w:sz="4" w:space="0"/>
          </w:tblBorders>
          <w:tblCellMar>
            <w:top w:w="0" w:type="dxa"/>
            <w:left w:w="108" w:type="dxa"/>
            <w:bottom w:w="0" w:type="dxa"/>
            <w:right w:w="108" w:type="dxa"/>
          </w:tblCellMar>
        </w:tblPrEx>
        <w:trPr>
          <w:trHeight w:val="142" w:hRule="atLeast"/>
          <w:jc w:val="center"/>
        </w:trPr>
        <w:tc>
          <w:tcPr>
            <w:tcW w:w="1098" w:type="dxa"/>
            <w:noWrap w:val="0"/>
            <w:vAlign w:val="top"/>
          </w:tcPr>
          <w:p>
            <w:pPr>
              <w:spacing w:line="400" w:lineRule="exact"/>
              <w:ind w:firstLine="22"/>
              <w:jc w:val="center"/>
              <w:rPr>
                <w:rFonts w:eastAsia="仿宋_GB2312"/>
                <w:color w:val="auto"/>
                <w:sz w:val="28"/>
                <w:szCs w:val="28"/>
                <w:highlight w:val="none"/>
              </w:rPr>
            </w:pPr>
            <w:r>
              <w:rPr>
                <w:rFonts w:eastAsia="仿宋_GB2312"/>
                <w:color w:val="auto"/>
                <w:sz w:val="28"/>
                <w:szCs w:val="28"/>
                <w:highlight w:val="none"/>
              </w:rPr>
              <w:t>3</w:t>
            </w:r>
          </w:p>
        </w:tc>
        <w:tc>
          <w:tcPr>
            <w:tcW w:w="5967" w:type="dxa"/>
            <w:noWrap w:val="0"/>
            <w:vAlign w:val="top"/>
          </w:tcPr>
          <w:p>
            <w:pPr>
              <w:spacing w:line="400" w:lineRule="exact"/>
              <w:ind w:firstLine="64"/>
              <w:rPr>
                <w:rFonts w:eastAsia="仿宋_GB2312"/>
                <w:color w:val="auto"/>
                <w:sz w:val="28"/>
                <w:szCs w:val="28"/>
                <w:highlight w:val="none"/>
              </w:rPr>
            </w:pPr>
            <w:r>
              <w:rPr>
                <w:rFonts w:eastAsia="仿宋_GB2312"/>
                <w:color w:val="auto"/>
                <w:kern w:val="0"/>
                <w:sz w:val="28"/>
                <w:szCs w:val="28"/>
                <w:highlight w:val="none"/>
              </w:rPr>
              <w:t>重特大事故死亡人数</w:t>
            </w:r>
          </w:p>
        </w:tc>
        <w:tc>
          <w:tcPr>
            <w:tcW w:w="1383" w:type="dxa"/>
            <w:noWrap w:val="0"/>
            <w:vAlign w:val="top"/>
          </w:tcPr>
          <w:p>
            <w:pPr>
              <w:spacing w:line="400" w:lineRule="exact"/>
              <w:jc w:val="center"/>
              <w:rPr>
                <w:rFonts w:eastAsia="仿宋_GB2312"/>
                <w:color w:val="auto"/>
                <w:sz w:val="28"/>
                <w:szCs w:val="28"/>
                <w:highlight w:val="none"/>
              </w:rPr>
            </w:pPr>
            <w:r>
              <w:rPr>
                <w:rFonts w:eastAsia="仿宋_GB2312"/>
                <w:i/>
                <w:color w:val="auto"/>
                <w:sz w:val="28"/>
                <w:szCs w:val="28"/>
                <w:highlight w:val="none"/>
              </w:rPr>
              <w:t>坚决遏制</w:t>
            </w:r>
          </w:p>
        </w:tc>
      </w:tr>
      <w:tr>
        <w:tblPrEx>
          <w:tblBorders>
            <w:top w:val="single" w:color="000000" w:sz="8" w:space="0"/>
            <w:left w:val="single" w:color="000000" w:sz="8" w:space="0"/>
            <w:bottom w:val="single" w:color="000000" w:sz="8" w:space="0"/>
            <w:right w:val="single" w:color="000000" w:sz="8" w:space="0"/>
            <w:insideH w:val="dotted" w:color="000000" w:sz="4" w:space="0"/>
            <w:insideV w:val="dotted" w:color="000000" w:sz="4" w:space="0"/>
          </w:tblBorders>
          <w:tblCellMar>
            <w:top w:w="0" w:type="dxa"/>
            <w:left w:w="108" w:type="dxa"/>
            <w:bottom w:w="0" w:type="dxa"/>
            <w:right w:w="108" w:type="dxa"/>
          </w:tblCellMar>
        </w:tblPrEx>
        <w:trPr>
          <w:trHeight w:val="287" w:hRule="atLeast"/>
          <w:jc w:val="center"/>
        </w:trPr>
        <w:tc>
          <w:tcPr>
            <w:tcW w:w="1098" w:type="dxa"/>
            <w:noWrap w:val="0"/>
            <w:vAlign w:val="top"/>
          </w:tcPr>
          <w:p>
            <w:pPr>
              <w:spacing w:line="400" w:lineRule="exact"/>
              <w:ind w:firstLine="22"/>
              <w:jc w:val="center"/>
              <w:rPr>
                <w:rFonts w:eastAsia="仿宋_GB2312"/>
                <w:color w:val="auto"/>
                <w:sz w:val="28"/>
                <w:szCs w:val="28"/>
                <w:highlight w:val="none"/>
              </w:rPr>
            </w:pPr>
            <w:r>
              <w:rPr>
                <w:rFonts w:eastAsia="仿宋_GB2312"/>
                <w:color w:val="auto"/>
                <w:sz w:val="28"/>
                <w:szCs w:val="28"/>
                <w:highlight w:val="none"/>
              </w:rPr>
              <w:t>4</w:t>
            </w:r>
          </w:p>
        </w:tc>
        <w:tc>
          <w:tcPr>
            <w:tcW w:w="5967" w:type="dxa"/>
            <w:noWrap w:val="0"/>
            <w:vAlign w:val="center"/>
          </w:tcPr>
          <w:p>
            <w:pPr>
              <w:spacing w:line="400" w:lineRule="exact"/>
              <w:ind w:firstLine="64"/>
              <w:rPr>
                <w:rFonts w:eastAsia="仿宋_GB2312"/>
                <w:color w:val="auto"/>
                <w:kern w:val="0"/>
                <w:sz w:val="28"/>
                <w:szCs w:val="28"/>
                <w:highlight w:val="none"/>
              </w:rPr>
            </w:pPr>
            <w:r>
              <w:rPr>
                <w:rFonts w:eastAsia="仿宋_GB2312"/>
                <w:color w:val="auto"/>
                <w:kern w:val="0"/>
                <w:sz w:val="28"/>
                <w:szCs w:val="28"/>
                <w:highlight w:val="none"/>
              </w:rPr>
              <w:t>工矿商贸就业人员十万人生产安全事故死亡率</w:t>
            </w:r>
          </w:p>
        </w:tc>
        <w:tc>
          <w:tcPr>
            <w:tcW w:w="1383" w:type="dxa"/>
            <w:noWrap w:val="0"/>
            <w:vAlign w:val="top"/>
          </w:tcPr>
          <w:p>
            <w:pPr>
              <w:spacing w:line="400" w:lineRule="exact"/>
              <w:jc w:val="center"/>
              <w:rPr>
                <w:rFonts w:eastAsia="仿宋_GB2312"/>
                <w:color w:val="auto"/>
                <w:kern w:val="0"/>
                <w:sz w:val="28"/>
                <w:szCs w:val="28"/>
                <w:highlight w:val="none"/>
              </w:rPr>
            </w:pPr>
            <w:r>
              <w:rPr>
                <w:rFonts w:hint="eastAsia" w:eastAsia="仿宋_GB2312"/>
                <w:color w:val="auto"/>
                <w:kern w:val="0"/>
                <w:sz w:val="28"/>
                <w:szCs w:val="28"/>
                <w:highlight w:val="none"/>
                <w:lang w:val="en-US" w:eastAsia="zh-CN"/>
              </w:rPr>
              <w:t>10</w:t>
            </w:r>
            <w:r>
              <w:rPr>
                <w:rFonts w:eastAsia="仿宋_GB2312"/>
                <w:color w:val="auto"/>
                <w:kern w:val="0"/>
                <w:sz w:val="28"/>
                <w:szCs w:val="28"/>
                <w:highlight w:val="none"/>
              </w:rPr>
              <w:t>%</w:t>
            </w:r>
          </w:p>
        </w:tc>
      </w:tr>
      <w:tr>
        <w:tblPrEx>
          <w:tblBorders>
            <w:top w:val="single" w:color="000000" w:sz="8" w:space="0"/>
            <w:left w:val="single" w:color="000000" w:sz="8" w:space="0"/>
            <w:bottom w:val="single" w:color="000000" w:sz="8" w:space="0"/>
            <w:right w:val="single" w:color="000000" w:sz="8" w:space="0"/>
            <w:insideH w:val="dotted" w:color="000000" w:sz="4" w:space="0"/>
            <w:insideV w:val="dotted" w:color="000000" w:sz="4" w:space="0"/>
          </w:tblBorders>
          <w:tblCellMar>
            <w:top w:w="0" w:type="dxa"/>
            <w:left w:w="108" w:type="dxa"/>
            <w:bottom w:w="0" w:type="dxa"/>
            <w:right w:w="108" w:type="dxa"/>
          </w:tblCellMar>
        </w:tblPrEx>
        <w:trPr>
          <w:trHeight w:val="142" w:hRule="atLeast"/>
          <w:jc w:val="center"/>
        </w:trPr>
        <w:tc>
          <w:tcPr>
            <w:tcW w:w="1098" w:type="dxa"/>
            <w:noWrap w:val="0"/>
            <w:vAlign w:val="top"/>
          </w:tcPr>
          <w:p>
            <w:pPr>
              <w:spacing w:line="400" w:lineRule="exact"/>
              <w:ind w:firstLine="22"/>
              <w:jc w:val="center"/>
              <w:rPr>
                <w:rFonts w:hint="eastAsia" w:eastAsia="仿宋_GB2312"/>
                <w:color w:val="auto"/>
                <w:sz w:val="28"/>
                <w:szCs w:val="28"/>
                <w:highlight w:val="none"/>
                <w:lang w:eastAsia="zh-CN"/>
              </w:rPr>
            </w:pPr>
            <w:r>
              <w:rPr>
                <w:rFonts w:hint="eastAsia" w:eastAsia="仿宋_GB2312"/>
                <w:color w:val="auto"/>
                <w:sz w:val="28"/>
                <w:szCs w:val="28"/>
                <w:highlight w:val="none"/>
                <w:lang w:val="en-US" w:eastAsia="zh-CN"/>
              </w:rPr>
              <w:t>5</w:t>
            </w:r>
          </w:p>
        </w:tc>
        <w:tc>
          <w:tcPr>
            <w:tcW w:w="5967" w:type="dxa"/>
            <w:noWrap w:val="0"/>
            <w:vAlign w:val="center"/>
          </w:tcPr>
          <w:p>
            <w:pPr>
              <w:spacing w:line="400" w:lineRule="exact"/>
              <w:ind w:firstLine="64"/>
              <w:rPr>
                <w:rFonts w:eastAsia="仿宋_GB2312"/>
                <w:color w:val="auto"/>
                <w:sz w:val="28"/>
                <w:szCs w:val="28"/>
                <w:highlight w:val="none"/>
              </w:rPr>
            </w:pPr>
            <w:r>
              <w:rPr>
                <w:rFonts w:eastAsia="仿宋_GB2312"/>
                <w:color w:val="auto"/>
                <w:sz w:val="28"/>
                <w:szCs w:val="28"/>
                <w:highlight w:val="none"/>
              </w:rPr>
              <w:t>道路交通万车死亡</w:t>
            </w:r>
            <w:r>
              <w:rPr>
                <w:rFonts w:eastAsia="仿宋_GB2312"/>
                <w:color w:val="auto"/>
                <w:kern w:val="0"/>
                <w:sz w:val="28"/>
                <w:szCs w:val="28"/>
                <w:highlight w:val="none"/>
              </w:rPr>
              <w:t>率</w:t>
            </w:r>
          </w:p>
        </w:tc>
        <w:tc>
          <w:tcPr>
            <w:tcW w:w="1383" w:type="dxa"/>
            <w:noWrap w:val="0"/>
            <w:vAlign w:val="top"/>
          </w:tcPr>
          <w:p>
            <w:pPr>
              <w:spacing w:line="400" w:lineRule="exact"/>
              <w:jc w:val="center"/>
              <w:rPr>
                <w:rFonts w:eastAsia="仿宋_GB2312"/>
                <w:i/>
                <w:color w:val="auto"/>
                <w:sz w:val="28"/>
                <w:szCs w:val="28"/>
                <w:highlight w:val="none"/>
              </w:rPr>
            </w:pPr>
            <w:r>
              <w:rPr>
                <w:rFonts w:eastAsia="仿宋_GB2312"/>
                <w:color w:val="auto"/>
                <w:sz w:val="28"/>
                <w:szCs w:val="28"/>
                <w:highlight w:val="none"/>
              </w:rPr>
              <w:t>10%</w:t>
            </w:r>
          </w:p>
        </w:tc>
      </w:tr>
      <w:tr>
        <w:tblPrEx>
          <w:tblBorders>
            <w:top w:val="single" w:color="000000" w:sz="8" w:space="0"/>
            <w:left w:val="single" w:color="000000" w:sz="8" w:space="0"/>
            <w:bottom w:val="single" w:color="000000" w:sz="8" w:space="0"/>
            <w:right w:val="single" w:color="000000" w:sz="8" w:space="0"/>
            <w:insideH w:val="dotted" w:color="000000" w:sz="4" w:space="0"/>
            <w:insideV w:val="dotted" w:color="000000" w:sz="4" w:space="0"/>
          </w:tblBorders>
          <w:tblCellMar>
            <w:top w:w="0" w:type="dxa"/>
            <w:left w:w="108" w:type="dxa"/>
            <w:bottom w:w="0" w:type="dxa"/>
            <w:right w:w="108" w:type="dxa"/>
          </w:tblCellMar>
        </w:tblPrEx>
        <w:trPr>
          <w:trHeight w:val="142" w:hRule="atLeast"/>
          <w:jc w:val="center"/>
        </w:trPr>
        <w:tc>
          <w:tcPr>
            <w:tcW w:w="1098" w:type="dxa"/>
            <w:noWrap w:val="0"/>
            <w:vAlign w:val="top"/>
          </w:tcPr>
          <w:p>
            <w:pPr>
              <w:spacing w:line="400" w:lineRule="exact"/>
              <w:ind w:firstLine="22"/>
              <w:jc w:val="center"/>
              <w:rPr>
                <w:rFonts w:hint="eastAsia" w:eastAsia="仿宋_GB2312"/>
                <w:color w:val="auto"/>
                <w:sz w:val="28"/>
                <w:szCs w:val="28"/>
                <w:highlight w:val="none"/>
                <w:lang w:eastAsia="zh-CN"/>
              </w:rPr>
            </w:pPr>
            <w:r>
              <w:rPr>
                <w:rFonts w:hint="eastAsia" w:eastAsia="仿宋_GB2312"/>
                <w:color w:val="auto"/>
                <w:sz w:val="28"/>
                <w:szCs w:val="28"/>
                <w:highlight w:val="none"/>
                <w:lang w:val="en-US" w:eastAsia="zh-CN"/>
              </w:rPr>
              <w:t>6</w:t>
            </w:r>
          </w:p>
        </w:tc>
        <w:tc>
          <w:tcPr>
            <w:tcW w:w="5967" w:type="dxa"/>
            <w:noWrap w:val="0"/>
            <w:vAlign w:val="center"/>
          </w:tcPr>
          <w:p>
            <w:pPr>
              <w:spacing w:line="400" w:lineRule="exact"/>
              <w:ind w:firstLine="64"/>
              <w:rPr>
                <w:rFonts w:eastAsia="仿宋_GB2312"/>
                <w:color w:val="auto"/>
                <w:kern w:val="0"/>
                <w:sz w:val="28"/>
                <w:szCs w:val="28"/>
                <w:highlight w:val="none"/>
              </w:rPr>
            </w:pPr>
            <w:r>
              <w:rPr>
                <w:rFonts w:eastAsia="仿宋_GB2312"/>
                <w:color w:val="auto"/>
                <w:kern w:val="0"/>
                <w:sz w:val="28"/>
                <w:szCs w:val="28"/>
                <w:highlight w:val="none"/>
              </w:rPr>
              <w:t>煤矿百万吨死亡率</w:t>
            </w:r>
          </w:p>
        </w:tc>
        <w:tc>
          <w:tcPr>
            <w:tcW w:w="1383" w:type="dxa"/>
            <w:noWrap w:val="0"/>
            <w:vAlign w:val="top"/>
          </w:tcPr>
          <w:p>
            <w:pPr>
              <w:spacing w:line="400" w:lineRule="exact"/>
              <w:jc w:val="center"/>
              <w:rPr>
                <w:rFonts w:eastAsia="仿宋_GB2312"/>
                <w:color w:val="auto"/>
                <w:kern w:val="0"/>
                <w:sz w:val="28"/>
                <w:szCs w:val="28"/>
                <w:highlight w:val="none"/>
              </w:rPr>
            </w:pPr>
            <w:r>
              <w:rPr>
                <w:rFonts w:hint="eastAsia" w:eastAsia="仿宋_GB2312"/>
                <w:color w:val="auto"/>
                <w:kern w:val="0"/>
                <w:sz w:val="28"/>
                <w:szCs w:val="28"/>
                <w:highlight w:val="none"/>
              </w:rPr>
              <w:t>1</w:t>
            </w:r>
            <w:r>
              <w:rPr>
                <w:rFonts w:eastAsia="仿宋_GB2312"/>
                <w:color w:val="auto"/>
                <w:kern w:val="0"/>
                <w:sz w:val="28"/>
                <w:szCs w:val="28"/>
                <w:highlight w:val="none"/>
              </w:rPr>
              <w:t>0%</w:t>
            </w:r>
          </w:p>
        </w:tc>
      </w:tr>
      <w:tr>
        <w:tblPrEx>
          <w:tblBorders>
            <w:top w:val="single" w:color="000000" w:sz="8" w:space="0"/>
            <w:left w:val="single" w:color="000000" w:sz="8" w:space="0"/>
            <w:bottom w:val="single" w:color="000000" w:sz="8" w:space="0"/>
            <w:right w:val="single" w:color="000000" w:sz="8" w:space="0"/>
            <w:insideH w:val="dotted" w:color="000000" w:sz="4" w:space="0"/>
            <w:insideV w:val="dotted" w:color="000000" w:sz="4" w:space="0"/>
          </w:tblBorders>
          <w:tblCellMar>
            <w:top w:w="0" w:type="dxa"/>
            <w:left w:w="108" w:type="dxa"/>
            <w:bottom w:w="0" w:type="dxa"/>
            <w:right w:w="108" w:type="dxa"/>
          </w:tblCellMar>
        </w:tblPrEx>
        <w:trPr>
          <w:trHeight w:val="142" w:hRule="atLeast"/>
          <w:jc w:val="center"/>
        </w:trPr>
        <w:tc>
          <w:tcPr>
            <w:tcW w:w="1098" w:type="dxa"/>
            <w:noWrap w:val="0"/>
            <w:vAlign w:val="top"/>
          </w:tcPr>
          <w:p>
            <w:pPr>
              <w:spacing w:line="400" w:lineRule="exact"/>
              <w:ind w:firstLine="22"/>
              <w:jc w:val="center"/>
              <w:rPr>
                <w:rFonts w:hint="eastAsia" w:eastAsia="仿宋_GB2312"/>
                <w:color w:val="auto"/>
                <w:sz w:val="28"/>
                <w:szCs w:val="28"/>
                <w:highlight w:val="none"/>
                <w:lang w:eastAsia="zh-CN"/>
              </w:rPr>
            </w:pPr>
            <w:r>
              <w:rPr>
                <w:rFonts w:hint="eastAsia" w:eastAsia="仿宋_GB2312"/>
                <w:color w:val="auto"/>
                <w:sz w:val="28"/>
                <w:szCs w:val="28"/>
                <w:highlight w:val="none"/>
                <w:lang w:val="en-US" w:eastAsia="zh-CN"/>
              </w:rPr>
              <w:t>7</w:t>
            </w:r>
          </w:p>
        </w:tc>
        <w:tc>
          <w:tcPr>
            <w:tcW w:w="5967" w:type="dxa"/>
            <w:noWrap w:val="0"/>
            <w:vAlign w:val="top"/>
          </w:tcPr>
          <w:p>
            <w:pPr>
              <w:spacing w:line="400" w:lineRule="exact"/>
              <w:ind w:firstLine="64"/>
              <w:rPr>
                <w:rFonts w:eastAsia="仿宋_GB2312"/>
                <w:color w:val="auto"/>
                <w:sz w:val="28"/>
                <w:szCs w:val="28"/>
                <w:highlight w:val="none"/>
              </w:rPr>
            </w:pPr>
            <w:r>
              <w:rPr>
                <w:rFonts w:eastAsia="仿宋_GB2312"/>
                <w:color w:val="auto"/>
                <w:kern w:val="0"/>
                <w:sz w:val="28"/>
                <w:szCs w:val="28"/>
                <w:highlight w:val="none"/>
              </w:rPr>
              <w:t>较大以上事故起数占比</w:t>
            </w:r>
          </w:p>
        </w:tc>
        <w:tc>
          <w:tcPr>
            <w:tcW w:w="1383" w:type="dxa"/>
            <w:noWrap w:val="0"/>
            <w:vAlign w:val="top"/>
          </w:tcPr>
          <w:p>
            <w:pPr>
              <w:spacing w:line="400" w:lineRule="exact"/>
              <w:jc w:val="center"/>
              <w:rPr>
                <w:rFonts w:eastAsia="仿宋_GB2312"/>
                <w:color w:val="auto"/>
                <w:sz w:val="28"/>
                <w:szCs w:val="28"/>
                <w:highlight w:val="none"/>
              </w:rPr>
            </w:pPr>
            <w:r>
              <w:rPr>
                <w:rFonts w:eastAsia="仿宋_GB2312"/>
                <w:color w:val="auto"/>
                <w:kern w:val="0"/>
                <w:sz w:val="28"/>
                <w:szCs w:val="28"/>
                <w:highlight w:val="none"/>
              </w:rPr>
              <w:t>1</w:t>
            </w:r>
            <w:r>
              <w:rPr>
                <w:rFonts w:hint="eastAsia" w:eastAsia="仿宋_GB2312"/>
                <w:color w:val="auto"/>
                <w:kern w:val="0"/>
                <w:sz w:val="28"/>
                <w:szCs w:val="28"/>
                <w:highlight w:val="none"/>
                <w:lang w:val="en-US" w:eastAsia="zh-CN"/>
              </w:rPr>
              <w:t>0</w:t>
            </w:r>
            <w:r>
              <w:rPr>
                <w:rFonts w:eastAsia="仿宋_GB2312"/>
                <w:color w:val="auto"/>
                <w:kern w:val="0"/>
                <w:sz w:val="28"/>
                <w:szCs w:val="28"/>
                <w:highlight w:val="none"/>
              </w:rPr>
              <w:t>%</w:t>
            </w:r>
          </w:p>
        </w:tc>
      </w:tr>
    </w:tbl>
    <w:p>
      <w:pPr>
        <w:rPr>
          <w:rFonts w:eastAsia="仿宋_GB2312"/>
          <w:color w:val="auto"/>
          <w:szCs w:val="21"/>
          <w:highlight w:val="none"/>
        </w:rPr>
      </w:pPr>
    </w:p>
    <w:p>
      <w:pPr>
        <w:pStyle w:val="3"/>
        <w:spacing w:before="0" w:after="0" w:line="580" w:lineRule="exact"/>
        <w:ind w:firstLine="640" w:firstLineChars="200"/>
        <w:rPr>
          <w:rFonts w:ascii="Times New Roman" w:hAnsi="Times New Roman" w:eastAsia="黑体"/>
          <w:b w:val="0"/>
          <w:bCs w:val="0"/>
          <w:color w:val="auto"/>
          <w:sz w:val="32"/>
          <w:szCs w:val="32"/>
          <w:highlight w:val="none"/>
        </w:rPr>
      </w:pPr>
      <w:bookmarkStart w:id="13" w:name="_Toc48920564"/>
      <w:r>
        <w:rPr>
          <w:rFonts w:ascii="Times New Roman" w:hAnsi="Times New Roman" w:eastAsia="黑体"/>
          <w:b w:val="0"/>
          <w:bCs w:val="0"/>
          <w:color w:val="auto"/>
          <w:sz w:val="32"/>
          <w:szCs w:val="32"/>
          <w:highlight w:val="none"/>
        </w:rPr>
        <w:t>三、</w:t>
      </w:r>
      <w:r>
        <w:rPr>
          <w:rFonts w:hint="eastAsia" w:ascii="Times New Roman" w:hAnsi="Times New Roman" w:eastAsia="黑体"/>
          <w:b w:val="0"/>
          <w:bCs w:val="0"/>
          <w:color w:val="auto"/>
          <w:sz w:val="32"/>
          <w:szCs w:val="32"/>
          <w:highlight w:val="none"/>
        </w:rPr>
        <w:t>织密风险防控责任网络</w:t>
      </w:r>
    </w:p>
    <w:p>
      <w:pPr>
        <w:pStyle w:val="4"/>
        <w:spacing w:before="0" w:after="0" w:line="580" w:lineRule="exact"/>
        <w:ind w:firstLine="642" w:firstLineChars="200"/>
        <w:rPr>
          <w:rFonts w:ascii="Times New Roman" w:hAnsi="Times New Roman" w:eastAsia="楷体_GB2312"/>
          <w:color w:val="auto"/>
          <w:highlight w:val="none"/>
        </w:rPr>
      </w:pPr>
      <w:r>
        <w:rPr>
          <w:rFonts w:hint="eastAsia" w:ascii="Times New Roman" w:hAnsi="Times New Roman" w:eastAsia="楷体_GB2312"/>
          <w:color w:val="auto"/>
          <w:highlight w:val="none"/>
        </w:rPr>
        <w:t>（一）</w:t>
      </w:r>
      <w:r>
        <w:rPr>
          <w:rFonts w:ascii="Times New Roman" w:hAnsi="Times New Roman" w:eastAsia="楷体_GB2312"/>
          <w:color w:val="auto"/>
          <w:highlight w:val="none"/>
        </w:rPr>
        <w:t>深化</w:t>
      </w:r>
      <w:r>
        <w:rPr>
          <w:rFonts w:hint="eastAsia" w:ascii="Times New Roman" w:hAnsi="Times New Roman" w:eastAsia="楷体_GB2312"/>
          <w:color w:val="auto"/>
          <w:highlight w:val="none"/>
        </w:rPr>
        <w:t>安全生产监管</w:t>
      </w:r>
      <w:r>
        <w:rPr>
          <w:rFonts w:ascii="Times New Roman" w:hAnsi="Times New Roman" w:eastAsia="楷体_GB2312"/>
          <w:color w:val="auto"/>
          <w:highlight w:val="none"/>
        </w:rPr>
        <w:t>体制机制改革</w:t>
      </w:r>
    </w:p>
    <w:p>
      <w:pPr>
        <w:spacing w:line="580" w:lineRule="exact"/>
        <w:ind w:firstLine="640" w:firstLineChars="200"/>
        <w:rPr>
          <w:rFonts w:eastAsia="楷体_GB2312"/>
          <w:b/>
          <w:bCs/>
          <w:color w:val="auto"/>
          <w:sz w:val="32"/>
          <w:szCs w:val="32"/>
          <w:highlight w:val="none"/>
        </w:rPr>
      </w:pPr>
      <w:r>
        <w:rPr>
          <w:rFonts w:eastAsia="仿宋_GB2312"/>
          <w:color w:val="auto"/>
          <w:sz w:val="32"/>
          <w:szCs w:val="32"/>
          <w:highlight w:val="none"/>
        </w:rPr>
        <w:t>推进各级安委办实体化运作，明确各级安委办内部机构设置、人员编制和运行规则</w:t>
      </w:r>
      <w:r>
        <w:rPr>
          <w:rFonts w:hint="eastAsia" w:eastAsia="仿宋_GB2312"/>
          <w:color w:val="auto"/>
          <w:sz w:val="32"/>
          <w:szCs w:val="32"/>
          <w:highlight w:val="none"/>
        </w:rPr>
        <w:t>和经费保障机制</w:t>
      </w:r>
      <w:r>
        <w:rPr>
          <w:rFonts w:eastAsia="仿宋_GB2312"/>
          <w:color w:val="auto"/>
          <w:sz w:val="32"/>
          <w:szCs w:val="32"/>
          <w:highlight w:val="none"/>
        </w:rPr>
        <w:t>，更加充分有效发挥各地安全生产委员会统筹协调作用。</w:t>
      </w:r>
      <w:r>
        <w:rPr>
          <w:rFonts w:hint="eastAsia" w:eastAsia="仿宋_GB2312"/>
          <w:color w:val="auto"/>
          <w:sz w:val="32"/>
          <w:szCs w:val="32"/>
          <w:highlight w:val="none"/>
        </w:rPr>
        <w:t>建立消防执法跨部门协作机制。</w:t>
      </w:r>
      <w:r>
        <w:rPr>
          <w:rFonts w:eastAsia="仿宋_GB2312"/>
          <w:color w:val="auto"/>
          <w:sz w:val="32"/>
          <w:szCs w:val="32"/>
          <w:highlight w:val="none"/>
        </w:rPr>
        <w:t>推</w:t>
      </w:r>
      <w:r>
        <w:rPr>
          <w:rFonts w:eastAsia="仿宋_GB2312"/>
          <w:color w:val="auto"/>
          <w:sz w:val="32"/>
          <w:szCs w:val="32"/>
          <w:highlight w:val="none"/>
        </w:rPr>
        <w:t>进</w:t>
      </w:r>
      <w:r>
        <w:rPr>
          <w:rFonts w:hint="eastAsia" w:eastAsia="仿宋_GB2312"/>
          <w:color w:val="auto"/>
          <w:sz w:val="32"/>
          <w:szCs w:val="32"/>
          <w:highlight w:val="none"/>
          <w:lang w:eastAsia="zh-CN"/>
        </w:rPr>
        <w:t>安全生产综合执法</w:t>
      </w:r>
      <w:r>
        <w:rPr>
          <w:rFonts w:eastAsia="仿宋_GB2312"/>
          <w:color w:val="auto"/>
          <w:sz w:val="32"/>
          <w:szCs w:val="32"/>
          <w:highlight w:val="none"/>
        </w:rPr>
        <w:t>监</w:t>
      </w:r>
      <w:r>
        <w:rPr>
          <w:rFonts w:eastAsia="仿宋_GB2312"/>
          <w:color w:val="auto"/>
          <w:sz w:val="32"/>
          <w:szCs w:val="32"/>
          <w:highlight w:val="none"/>
        </w:rPr>
        <w:t>管体制改革。进一步厘清综合监管部门与各行业监管部门之间的职责边界，理顺各级应急管理部门内设机构之间的安全生产监管职责关系和运行机制。推动负有安全生产监管或管理的重点部门设立安全监管内设机构。鼓励各地根据实际情况探索创新安全监管体制，指导和规范乡镇、街道、功能区安全生产监管机构的职能设置和人员编制</w:t>
      </w:r>
      <w:r>
        <w:rPr>
          <w:rFonts w:hint="eastAsia" w:eastAsia="仿宋_GB2312"/>
          <w:color w:val="auto"/>
          <w:sz w:val="32"/>
          <w:szCs w:val="32"/>
          <w:highlight w:val="none"/>
        </w:rPr>
        <w:t>和经费保障机制</w:t>
      </w:r>
      <w:r>
        <w:rPr>
          <w:rFonts w:eastAsia="仿宋_GB2312"/>
          <w:color w:val="auto"/>
          <w:sz w:val="32"/>
          <w:szCs w:val="32"/>
          <w:highlight w:val="none"/>
        </w:rPr>
        <w:t>。健全完善安全生产巡查制度，规范巡查内容、程序和标准，强化安全巡查结果的运用。</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市应急局办公室</w:t>
      </w:r>
      <w:r>
        <w:rPr>
          <w:rFonts w:hint="eastAsia" w:ascii="楷体_GB2312" w:eastAsia="楷体_GB2312"/>
          <w:color w:val="auto"/>
          <w:sz w:val="32"/>
          <w:szCs w:val="32"/>
          <w:highlight w:val="none"/>
        </w:rPr>
        <w:t>牵头完善）</w:t>
      </w:r>
    </w:p>
    <w:p>
      <w:pPr>
        <w:pStyle w:val="4"/>
        <w:spacing w:before="0" w:after="0" w:line="580" w:lineRule="exact"/>
        <w:ind w:firstLine="642" w:firstLineChars="200"/>
        <w:rPr>
          <w:rFonts w:ascii="Times New Roman" w:hAnsi="Times New Roman" w:eastAsia="楷体_GB2312"/>
          <w:color w:val="auto"/>
          <w:highlight w:val="none"/>
        </w:rPr>
      </w:pPr>
      <w:r>
        <w:rPr>
          <w:rFonts w:hint="eastAsia" w:ascii="Times New Roman" w:hAnsi="Times New Roman" w:eastAsia="楷体_GB2312"/>
          <w:color w:val="auto"/>
          <w:highlight w:val="none"/>
        </w:rPr>
        <w:t>（二）压实党政领导责任</w:t>
      </w:r>
    </w:p>
    <w:p>
      <w:pPr>
        <w:spacing w:line="580" w:lineRule="exact"/>
        <w:ind w:firstLine="640" w:firstLineChars="200"/>
        <w:rPr>
          <w:rFonts w:eastAsia="仿宋_GB2312"/>
          <w:color w:val="auto"/>
          <w:sz w:val="32"/>
          <w:szCs w:val="32"/>
          <w:highlight w:val="none"/>
        </w:rPr>
      </w:pPr>
      <w:r>
        <w:rPr>
          <w:rFonts w:hint="eastAsia" w:eastAsia="仿宋_GB2312"/>
          <w:color w:val="auto"/>
          <w:sz w:val="32"/>
          <w:szCs w:val="32"/>
          <w:highlight w:val="none"/>
        </w:rPr>
        <w:t>推动各级党委政府深入学习贯彻习近平总书记关于安全生产重要论述，强化党委、政府领导干部安全生产红线意识。将安全生产纳入领导干部教育培训，日常谈话和提醒内容。全面贯彻落实地方党政领导干部安全生产责任制，制定完善地方党政领导干部安全生产职责清单和工作任务清单制度。严格落实党政领导安全生产履责述职和“第一责任人”职责落实报告制度。健全党政领导干部带队督查检查安全生产机制，开展重要节日和重大活动针对性督查检查。聚焦重特大事故多发地区，完善安全生产警示，督办、约谈等制度。</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w:t>
      </w:r>
      <w:r>
        <w:rPr>
          <w:rFonts w:hint="eastAsia" w:ascii="楷体_GB2312" w:eastAsia="楷体_GB2312"/>
          <w:color w:val="auto"/>
          <w:sz w:val="32"/>
          <w:szCs w:val="32"/>
          <w:highlight w:val="none"/>
        </w:rPr>
        <w:t>应急</w:t>
      </w:r>
      <w:r>
        <w:rPr>
          <w:rFonts w:hint="eastAsia" w:ascii="楷体_GB2312" w:eastAsia="楷体_GB2312"/>
          <w:color w:val="auto"/>
          <w:sz w:val="32"/>
          <w:szCs w:val="32"/>
          <w:highlight w:val="none"/>
          <w:lang w:eastAsia="zh-CN"/>
        </w:rPr>
        <w:t>局综合协调科牵头</w:t>
      </w:r>
      <w:r>
        <w:rPr>
          <w:rFonts w:hint="eastAsia" w:ascii="楷体_GB2312" w:eastAsia="楷体_GB2312"/>
          <w:color w:val="auto"/>
          <w:sz w:val="32"/>
          <w:szCs w:val="32"/>
          <w:highlight w:val="none"/>
        </w:rPr>
        <w:t>完善</w:t>
      </w:r>
      <w:r>
        <w:rPr>
          <w:rFonts w:hint="eastAsia" w:ascii="楷体_GB2312" w:eastAsia="楷体_GB2312"/>
          <w:color w:val="auto"/>
          <w:sz w:val="32"/>
          <w:szCs w:val="32"/>
          <w:highlight w:val="none"/>
        </w:rPr>
        <w:t>）</w:t>
      </w:r>
    </w:p>
    <w:p>
      <w:pPr>
        <w:spacing w:line="580" w:lineRule="exact"/>
        <w:ind w:firstLine="642" w:firstLineChars="200"/>
        <w:outlineLvl w:val="1"/>
        <w:rPr>
          <w:rFonts w:eastAsia="楷体_GB2312"/>
          <w:b/>
          <w:bCs/>
          <w:color w:val="auto"/>
          <w:sz w:val="32"/>
          <w:szCs w:val="32"/>
          <w:highlight w:val="none"/>
        </w:rPr>
      </w:pPr>
      <w:bookmarkStart w:id="14" w:name="_Toc3721_WPSOffice_Level2"/>
      <w:r>
        <w:rPr>
          <w:rFonts w:eastAsia="楷体_GB2312"/>
          <w:b/>
          <w:bCs/>
          <w:color w:val="auto"/>
          <w:sz w:val="32"/>
          <w:szCs w:val="32"/>
          <w:highlight w:val="none"/>
        </w:rPr>
        <w:t>（三）夯实部门监管责任</w:t>
      </w:r>
      <w:bookmarkEnd w:id="14"/>
    </w:p>
    <w:p>
      <w:pPr>
        <w:spacing w:line="580" w:lineRule="exact"/>
        <w:ind w:firstLine="640" w:firstLineChars="200"/>
        <w:rPr>
          <w:rFonts w:eastAsia="仿宋_GB2312"/>
          <w:color w:val="auto"/>
          <w:sz w:val="32"/>
          <w:szCs w:val="32"/>
          <w:highlight w:val="none"/>
        </w:rPr>
      </w:pPr>
      <w:r>
        <w:rPr>
          <w:rFonts w:eastAsia="仿宋_GB2312"/>
          <w:color w:val="auto"/>
          <w:sz w:val="32"/>
          <w:szCs w:val="32"/>
          <w:highlight w:val="none"/>
        </w:rPr>
        <w:t>进一步落实县级以上地方各级人民政府有关部门安全生产工作职责，依法依规编制完善负有安全生产监管职责的部门权力和责任清单，优化行业监管部门任务分工。合理区分综合监管和行业监管部门之间的责任边界，扫清监管盲区。完善危险化学品安全监管机制，厘清监管职责边界，加强政策协同。理顺农业农村</w:t>
      </w:r>
      <w:r>
        <w:rPr>
          <w:rFonts w:hint="eastAsia" w:eastAsia="仿宋_GB2312"/>
          <w:color w:val="auto"/>
          <w:sz w:val="32"/>
          <w:szCs w:val="32"/>
          <w:highlight w:val="none"/>
        </w:rPr>
        <w:t>、</w:t>
      </w:r>
      <w:r>
        <w:rPr>
          <w:rFonts w:eastAsia="仿宋_GB2312"/>
          <w:color w:val="auto"/>
          <w:sz w:val="32"/>
          <w:szCs w:val="32"/>
          <w:highlight w:val="none"/>
        </w:rPr>
        <w:t>新型燃料、综合管廊等领域安全监管职责。及时消除</w:t>
      </w:r>
      <w:r>
        <w:rPr>
          <w:rFonts w:hint="eastAsia" w:eastAsia="仿宋_GB2312"/>
          <w:color w:val="auto"/>
          <w:sz w:val="32"/>
          <w:szCs w:val="32"/>
          <w:highlight w:val="none"/>
          <w:lang w:eastAsia="zh-CN"/>
        </w:rPr>
        <w:t>煤矿</w:t>
      </w:r>
      <w:r>
        <w:rPr>
          <w:rFonts w:eastAsia="仿宋_GB2312"/>
          <w:color w:val="auto"/>
          <w:sz w:val="32"/>
          <w:szCs w:val="32"/>
          <w:highlight w:val="none"/>
        </w:rPr>
        <w:t>安全监管盲区漏洞。强化对</w:t>
      </w:r>
      <w:r>
        <w:rPr>
          <w:rFonts w:eastAsia="仿宋_GB2312"/>
          <w:color w:val="auto"/>
          <w:spacing w:val="-6"/>
          <w:sz w:val="32"/>
          <w:szCs w:val="32"/>
          <w:highlight w:val="none"/>
        </w:rPr>
        <w:t>大型游乐设施等特种设备的安全监管。建立新产业、新业态监管职责动态调整机制，填补行业领域安全监管职责空</w:t>
      </w:r>
      <w:r>
        <w:rPr>
          <w:rFonts w:eastAsia="仿宋_GB2312"/>
          <w:color w:val="auto"/>
          <w:sz w:val="32"/>
          <w:szCs w:val="32"/>
          <w:highlight w:val="none"/>
        </w:rPr>
        <w:t>白。</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w:t>
      </w:r>
      <w:r>
        <w:rPr>
          <w:rFonts w:hint="eastAsia" w:ascii="楷体_GB2312" w:eastAsia="楷体_GB2312"/>
          <w:color w:val="auto"/>
          <w:sz w:val="32"/>
          <w:szCs w:val="32"/>
          <w:highlight w:val="none"/>
        </w:rPr>
        <w:t>应急</w:t>
      </w:r>
      <w:r>
        <w:rPr>
          <w:rFonts w:hint="eastAsia" w:ascii="楷体_GB2312" w:eastAsia="楷体_GB2312"/>
          <w:color w:val="auto"/>
          <w:sz w:val="32"/>
          <w:szCs w:val="32"/>
          <w:highlight w:val="none"/>
          <w:lang w:eastAsia="zh-CN"/>
        </w:rPr>
        <w:t>局综合协调科牵头</w:t>
      </w:r>
      <w:r>
        <w:rPr>
          <w:rFonts w:hint="eastAsia" w:ascii="楷体_GB2312" w:eastAsia="楷体_GB2312"/>
          <w:color w:val="auto"/>
          <w:sz w:val="32"/>
          <w:szCs w:val="32"/>
          <w:highlight w:val="none"/>
        </w:rPr>
        <w:t>完善</w:t>
      </w:r>
      <w:r>
        <w:rPr>
          <w:rFonts w:hint="eastAsia" w:ascii="楷体_GB2312" w:eastAsia="楷体_GB2312"/>
          <w:color w:val="auto"/>
          <w:sz w:val="32"/>
          <w:szCs w:val="32"/>
          <w:highlight w:val="none"/>
        </w:rPr>
        <w:t>）</w:t>
      </w:r>
    </w:p>
    <w:p>
      <w:pPr>
        <w:spacing w:line="580" w:lineRule="exact"/>
        <w:ind w:firstLine="642" w:firstLineChars="200"/>
        <w:outlineLvl w:val="1"/>
        <w:rPr>
          <w:rFonts w:eastAsia="楷体_GB2312"/>
          <w:b/>
          <w:bCs/>
          <w:color w:val="auto"/>
          <w:sz w:val="32"/>
          <w:szCs w:val="32"/>
          <w:highlight w:val="none"/>
        </w:rPr>
      </w:pPr>
      <w:bookmarkStart w:id="15" w:name="_Toc14540_WPSOffice_Level2"/>
      <w:r>
        <w:rPr>
          <w:rFonts w:eastAsia="楷体_GB2312"/>
          <w:b/>
          <w:bCs/>
          <w:color w:val="auto"/>
          <w:sz w:val="32"/>
          <w:szCs w:val="32"/>
          <w:highlight w:val="none"/>
        </w:rPr>
        <w:t>（四）强化企业主体责任</w:t>
      </w:r>
      <w:bookmarkEnd w:id="15"/>
    </w:p>
    <w:p>
      <w:pPr>
        <w:spacing w:line="580" w:lineRule="exact"/>
        <w:ind w:firstLine="640" w:firstLineChars="200"/>
        <w:rPr>
          <w:rFonts w:eastAsia="仿宋_GB2312"/>
          <w:color w:val="auto"/>
          <w:sz w:val="32"/>
          <w:szCs w:val="32"/>
          <w:highlight w:val="none"/>
        </w:rPr>
      </w:pPr>
      <w:r>
        <w:rPr>
          <w:rFonts w:eastAsia="仿宋_GB2312"/>
          <w:color w:val="auto"/>
          <w:sz w:val="32"/>
          <w:szCs w:val="32"/>
          <w:highlight w:val="none"/>
        </w:rPr>
        <w:t>严格落实企业主要负责人安全生产第一责任人的法定责任。推动企业建立从法定代表人、实际控制人等到一线岗位员工的全员安全生产责任制，健全企业生产经营全过程安全责任</w:t>
      </w:r>
      <w:r>
        <w:rPr>
          <w:rFonts w:hint="eastAsia" w:eastAsia="仿宋_GB2312"/>
          <w:color w:val="auto"/>
          <w:sz w:val="32"/>
          <w:szCs w:val="32"/>
          <w:highlight w:val="none"/>
        </w:rPr>
        <w:t>追溯</w:t>
      </w:r>
      <w:r>
        <w:rPr>
          <w:rFonts w:eastAsia="仿宋_GB2312"/>
          <w:color w:val="auto"/>
          <w:sz w:val="32"/>
          <w:szCs w:val="32"/>
          <w:highlight w:val="none"/>
        </w:rPr>
        <w:t>制度，构建自我约束，持续改进的安全生产内生机制。推动企业完善安全生产管理体系，开展企业安全生产风险报告试点。推动重点行业领域规模以上企业组建安全生产管理和技术团队，建立重点培养、严格考试、规范管理制度。鼓励企业用好用足安全生产费用、支持安全技术设备设施改造等有关财税政策。实施工伤预防行动计划，充分发挥工伤保险基金的事故预防作用。建立事故损失的评估和认定机制。强化守信</w:t>
      </w:r>
      <w:r>
        <w:rPr>
          <w:rFonts w:hint="eastAsia" w:eastAsia="仿宋_GB2312"/>
          <w:color w:val="auto"/>
          <w:sz w:val="32"/>
          <w:szCs w:val="32"/>
          <w:highlight w:val="none"/>
        </w:rPr>
        <w:t>激励</w:t>
      </w:r>
      <w:r>
        <w:rPr>
          <w:rFonts w:eastAsia="仿宋_GB2312"/>
          <w:color w:val="auto"/>
          <w:sz w:val="32"/>
          <w:szCs w:val="32"/>
          <w:highlight w:val="none"/>
        </w:rPr>
        <w:t>和失信</w:t>
      </w:r>
      <w:r>
        <w:rPr>
          <w:rFonts w:hint="eastAsia" w:eastAsia="仿宋_GB2312"/>
          <w:color w:val="auto"/>
          <w:sz w:val="32"/>
          <w:szCs w:val="32"/>
          <w:highlight w:val="none"/>
        </w:rPr>
        <w:t>惩戒</w:t>
      </w:r>
      <w:r>
        <w:rPr>
          <w:rFonts w:eastAsia="仿宋_GB2312"/>
          <w:color w:val="auto"/>
          <w:sz w:val="32"/>
          <w:szCs w:val="32"/>
          <w:highlight w:val="none"/>
        </w:rPr>
        <w:t>，依法建立健全安全生产</w:t>
      </w:r>
      <w:r>
        <w:rPr>
          <w:rFonts w:hint="eastAsia" w:eastAsia="仿宋_GB2312"/>
          <w:color w:val="auto"/>
          <w:sz w:val="32"/>
          <w:szCs w:val="32"/>
          <w:highlight w:val="none"/>
        </w:rPr>
        <w:t>领域</w:t>
      </w:r>
      <w:r>
        <w:rPr>
          <w:rFonts w:eastAsia="仿宋_GB2312"/>
          <w:color w:val="auto"/>
          <w:sz w:val="32"/>
          <w:szCs w:val="32"/>
          <w:highlight w:val="none"/>
        </w:rPr>
        <w:t>严重失信主体名单并实施失信联合惩戒，加大对安全生产严重失信主体的责任</w:t>
      </w:r>
      <w:r>
        <w:rPr>
          <w:rFonts w:hint="eastAsia" w:eastAsia="仿宋_GB2312"/>
          <w:color w:val="auto"/>
          <w:sz w:val="32"/>
          <w:szCs w:val="32"/>
          <w:highlight w:val="none"/>
        </w:rPr>
        <w:t>追</w:t>
      </w:r>
      <w:r>
        <w:rPr>
          <w:rFonts w:eastAsia="仿宋_GB2312"/>
          <w:color w:val="auto"/>
          <w:sz w:val="32"/>
          <w:szCs w:val="32"/>
          <w:highlight w:val="none"/>
        </w:rPr>
        <w:t>究。</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w:t>
      </w:r>
      <w:r>
        <w:rPr>
          <w:rFonts w:hint="eastAsia" w:ascii="楷体_GB2312" w:eastAsia="楷体_GB2312"/>
          <w:color w:val="auto"/>
          <w:sz w:val="32"/>
          <w:szCs w:val="32"/>
          <w:highlight w:val="none"/>
        </w:rPr>
        <w:t>应急</w:t>
      </w:r>
      <w:r>
        <w:rPr>
          <w:rFonts w:hint="eastAsia" w:ascii="楷体_GB2312" w:eastAsia="楷体_GB2312"/>
          <w:color w:val="auto"/>
          <w:sz w:val="32"/>
          <w:szCs w:val="32"/>
          <w:highlight w:val="none"/>
          <w:lang w:eastAsia="zh-CN"/>
        </w:rPr>
        <w:t>局综合协调科、监管科牵头</w:t>
      </w:r>
      <w:r>
        <w:rPr>
          <w:rFonts w:hint="eastAsia" w:ascii="楷体_GB2312" w:eastAsia="楷体_GB2312"/>
          <w:color w:val="auto"/>
          <w:sz w:val="32"/>
          <w:szCs w:val="32"/>
          <w:highlight w:val="none"/>
        </w:rPr>
        <w:t>完善</w:t>
      </w:r>
      <w:r>
        <w:rPr>
          <w:rFonts w:hint="eastAsia" w:ascii="楷体_GB2312" w:eastAsia="楷体_GB2312"/>
          <w:color w:val="auto"/>
          <w:sz w:val="32"/>
          <w:szCs w:val="32"/>
          <w:highlight w:val="none"/>
        </w:rPr>
        <w:t>）</w:t>
      </w:r>
    </w:p>
    <w:p>
      <w:pPr>
        <w:spacing w:line="580" w:lineRule="exact"/>
        <w:ind w:firstLine="642" w:firstLineChars="200"/>
        <w:outlineLvl w:val="1"/>
        <w:rPr>
          <w:rFonts w:eastAsia="楷体_GB2312"/>
          <w:b/>
          <w:bCs/>
          <w:color w:val="auto"/>
          <w:sz w:val="32"/>
          <w:szCs w:val="32"/>
          <w:highlight w:val="none"/>
        </w:rPr>
      </w:pPr>
      <w:bookmarkStart w:id="16" w:name="_Toc4272_WPSOffice_Level2"/>
      <w:r>
        <w:rPr>
          <w:rFonts w:eastAsia="楷体_GB2312"/>
          <w:b/>
          <w:bCs/>
          <w:color w:val="auto"/>
          <w:sz w:val="32"/>
          <w:szCs w:val="32"/>
          <w:highlight w:val="none"/>
        </w:rPr>
        <w:t>（五）严肃目标责任考核</w:t>
      </w:r>
      <w:bookmarkEnd w:id="16"/>
    </w:p>
    <w:p>
      <w:pPr>
        <w:spacing w:line="580" w:lineRule="exact"/>
        <w:ind w:firstLine="640" w:firstLineChars="200"/>
        <w:rPr>
          <w:rFonts w:eastAsia="仿宋_GB2312"/>
          <w:color w:val="auto"/>
          <w:sz w:val="32"/>
          <w:szCs w:val="32"/>
          <w:highlight w:val="none"/>
        </w:rPr>
      </w:pPr>
      <w:r>
        <w:rPr>
          <w:rFonts w:eastAsia="仿宋_GB2312"/>
          <w:color w:val="auto"/>
          <w:sz w:val="32"/>
          <w:szCs w:val="32"/>
          <w:highlight w:val="none"/>
        </w:rPr>
        <w:t>推动安全生产工作纳入各地高质量发展绩效评价考核指标体系。严格实施安全生产工作责任考核，实行过程性考核和结果性考核相结合，推动考核结果向社会公开。建立各级安委会成员单位主要负责人安全生产述职评议制度，强化地方各级安委会对各部门，各地区安全生产落实情况的监督。建立安全生产绩效与履职评定、职务晋升、奖励惩处挂钩制度，落实向纪检监察机关移交安全生产领域违法违纪、职务违法犯罪问题线索工作机制，严格落实安全生产“一票否决”和约谈、问责等制度</w:t>
      </w:r>
      <w:r>
        <w:rPr>
          <w:rFonts w:hint="eastAsia" w:eastAsia="仿宋_GB2312"/>
          <w:color w:val="auto"/>
          <w:sz w:val="32"/>
          <w:szCs w:val="32"/>
          <w:highlight w:val="none"/>
        </w:rPr>
        <w:t>。</w:t>
      </w:r>
      <w:r>
        <w:rPr>
          <w:rFonts w:eastAsia="仿宋_GB2312"/>
          <w:color w:val="auto"/>
          <w:sz w:val="32"/>
          <w:szCs w:val="32"/>
          <w:highlight w:val="none"/>
        </w:rPr>
        <w:t>推行安全生产行政监管及履职第三方评估考核制度。完善事故调查机制，建立事故暴露问题整改督办制度，加强对事故查处和责任</w:t>
      </w:r>
      <w:r>
        <w:rPr>
          <w:rFonts w:hint="eastAsia" w:eastAsia="仿宋_GB2312"/>
          <w:color w:val="auto"/>
          <w:sz w:val="32"/>
          <w:szCs w:val="32"/>
          <w:highlight w:val="none"/>
        </w:rPr>
        <w:t>追究</w:t>
      </w:r>
      <w:r>
        <w:rPr>
          <w:rFonts w:eastAsia="仿宋_GB2312"/>
          <w:color w:val="auto"/>
          <w:sz w:val="32"/>
          <w:szCs w:val="32"/>
          <w:highlight w:val="none"/>
        </w:rPr>
        <w:t>落实情况的跟踪评估。</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w:t>
      </w:r>
      <w:r>
        <w:rPr>
          <w:rFonts w:hint="eastAsia" w:ascii="楷体_GB2312" w:eastAsia="楷体_GB2312"/>
          <w:color w:val="auto"/>
          <w:sz w:val="32"/>
          <w:szCs w:val="32"/>
          <w:highlight w:val="none"/>
        </w:rPr>
        <w:t>应急</w:t>
      </w:r>
      <w:r>
        <w:rPr>
          <w:rFonts w:hint="eastAsia" w:ascii="楷体_GB2312" w:eastAsia="楷体_GB2312"/>
          <w:color w:val="auto"/>
          <w:sz w:val="32"/>
          <w:szCs w:val="32"/>
          <w:highlight w:val="none"/>
          <w:lang w:eastAsia="zh-CN"/>
        </w:rPr>
        <w:t>局综合协调科牵头</w:t>
      </w:r>
      <w:r>
        <w:rPr>
          <w:rFonts w:hint="eastAsia" w:ascii="楷体_GB2312" w:eastAsia="楷体_GB2312"/>
          <w:color w:val="auto"/>
          <w:sz w:val="32"/>
          <w:szCs w:val="32"/>
          <w:highlight w:val="none"/>
        </w:rPr>
        <w:t>完善</w:t>
      </w:r>
      <w:r>
        <w:rPr>
          <w:rFonts w:hint="eastAsia" w:ascii="楷体_GB2312" w:eastAsia="楷体_GB2312"/>
          <w:color w:val="auto"/>
          <w:sz w:val="32"/>
          <w:szCs w:val="32"/>
          <w:highlight w:val="none"/>
        </w:rPr>
        <w:t>）</w:t>
      </w:r>
    </w:p>
    <w:p>
      <w:pPr>
        <w:spacing w:line="580" w:lineRule="exact"/>
        <w:ind w:firstLine="640" w:firstLineChars="200"/>
        <w:outlineLvl w:val="0"/>
        <w:rPr>
          <w:rFonts w:eastAsia="黑体"/>
          <w:color w:val="auto"/>
          <w:sz w:val="32"/>
          <w:szCs w:val="32"/>
          <w:highlight w:val="none"/>
        </w:rPr>
      </w:pPr>
      <w:bookmarkStart w:id="17" w:name="_Toc20338_WPSOffice_Level1"/>
      <w:r>
        <w:rPr>
          <w:rFonts w:eastAsia="黑体"/>
          <w:color w:val="auto"/>
          <w:sz w:val="32"/>
          <w:szCs w:val="32"/>
          <w:highlight w:val="none"/>
        </w:rPr>
        <w:t>四、优化安全生产法治秩序</w:t>
      </w:r>
      <w:bookmarkEnd w:id="17"/>
    </w:p>
    <w:p>
      <w:pPr>
        <w:spacing w:line="580" w:lineRule="exact"/>
        <w:ind w:firstLine="642" w:firstLineChars="200"/>
        <w:outlineLvl w:val="1"/>
        <w:rPr>
          <w:rFonts w:eastAsia="楷体_GB2312"/>
          <w:b/>
          <w:bCs/>
          <w:color w:val="auto"/>
          <w:sz w:val="32"/>
          <w:szCs w:val="32"/>
          <w:highlight w:val="none"/>
        </w:rPr>
      </w:pPr>
      <w:bookmarkStart w:id="18" w:name="_Toc18982_WPSOffice_Level2"/>
      <w:r>
        <w:rPr>
          <w:rFonts w:eastAsia="楷体_GB2312"/>
          <w:b/>
          <w:bCs/>
          <w:color w:val="auto"/>
          <w:sz w:val="32"/>
          <w:szCs w:val="32"/>
          <w:highlight w:val="none"/>
        </w:rPr>
        <w:t>（一）健全</w:t>
      </w:r>
      <w:r>
        <w:rPr>
          <w:rFonts w:hint="eastAsia" w:eastAsia="楷体_GB2312"/>
          <w:b/>
          <w:bCs/>
          <w:color w:val="auto"/>
          <w:sz w:val="32"/>
          <w:szCs w:val="32"/>
          <w:highlight w:val="none"/>
          <w:lang w:eastAsia="zh-CN"/>
        </w:rPr>
        <w:t>安全监管</w:t>
      </w:r>
      <w:r>
        <w:rPr>
          <w:rFonts w:eastAsia="楷体_GB2312"/>
          <w:b/>
          <w:bCs/>
          <w:color w:val="auto"/>
          <w:sz w:val="32"/>
          <w:szCs w:val="32"/>
          <w:highlight w:val="none"/>
        </w:rPr>
        <w:t>体系</w:t>
      </w:r>
      <w:bookmarkEnd w:id="18"/>
    </w:p>
    <w:p>
      <w:pPr>
        <w:spacing w:line="580" w:lineRule="exact"/>
        <w:ind w:firstLine="640" w:firstLineChars="200"/>
        <w:rPr>
          <w:rFonts w:hint="eastAsia" w:eastAsia="楷体_GB2312"/>
          <w:color w:val="auto"/>
          <w:sz w:val="32"/>
          <w:szCs w:val="32"/>
          <w:highlight w:val="none"/>
          <w:lang w:eastAsia="zh-CN"/>
        </w:rPr>
      </w:pPr>
      <w:bookmarkStart w:id="19" w:name="_Toc48920590"/>
      <w:r>
        <w:rPr>
          <w:rFonts w:hint="eastAsia" w:eastAsia="仿宋_GB2312"/>
          <w:color w:val="auto"/>
          <w:sz w:val="32"/>
          <w:szCs w:val="32"/>
          <w:highlight w:val="none"/>
        </w:rPr>
        <w:t>贯彻执行新修订的《安全生产法》，推进安全生产制度落实。完善安全生产规范性文件立改废释工作协调机制，加强对安全生产执法检查、事故调查处理、行政执法案卷评查等结果的运用，建立执法信息反馈的长效机制。适应安全生产监管工作需求，加强安全生产普法，把安全生产纳入公民法治宣传教育五年规划</w:t>
      </w:r>
      <w:r>
        <w:rPr>
          <w:rFonts w:eastAsia="仿宋_GB2312"/>
          <w:color w:val="auto"/>
          <w:sz w:val="32"/>
          <w:szCs w:val="32"/>
          <w:highlight w:val="none"/>
        </w:rPr>
        <w:t>，解决区域性安全生产突出问题。</w:t>
      </w:r>
      <w:r>
        <w:rPr>
          <w:rFonts w:hint="eastAsia" w:eastAsia="仿宋_GB2312"/>
          <w:color w:val="auto"/>
          <w:sz w:val="32"/>
          <w:szCs w:val="32"/>
          <w:highlight w:val="none"/>
        </w:rPr>
        <w:t>（</w:t>
      </w:r>
      <w:r>
        <w:rPr>
          <w:rFonts w:hint="eastAsia" w:ascii="楷体_GB2312" w:eastAsia="楷体_GB2312"/>
          <w:color w:val="auto"/>
          <w:sz w:val="32"/>
          <w:szCs w:val="32"/>
          <w:highlight w:val="none"/>
          <w:lang w:eastAsia="zh-CN"/>
        </w:rPr>
        <w:t>市</w:t>
      </w:r>
      <w:r>
        <w:rPr>
          <w:rFonts w:hint="eastAsia" w:ascii="楷体_GB2312" w:eastAsia="楷体_GB2312"/>
          <w:color w:val="auto"/>
          <w:sz w:val="32"/>
          <w:szCs w:val="32"/>
          <w:highlight w:val="none"/>
        </w:rPr>
        <w:t>应急</w:t>
      </w:r>
      <w:r>
        <w:rPr>
          <w:rFonts w:hint="eastAsia" w:ascii="楷体_GB2312" w:eastAsia="楷体_GB2312"/>
          <w:color w:val="auto"/>
          <w:sz w:val="32"/>
          <w:szCs w:val="32"/>
          <w:highlight w:val="none"/>
          <w:lang w:eastAsia="zh-CN"/>
        </w:rPr>
        <w:t>局综合协调科牵头</w:t>
      </w:r>
      <w:r>
        <w:rPr>
          <w:rFonts w:hint="eastAsia" w:ascii="楷体_GB2312" w:eastAsia="楷体_GB2312"/>
          <w:color w:val="auto"/>
          <w:sz w:val="32"/>
          <w:szCs w:val="32"/>
          <w:highlight w:val="none"/>
        </w:rPr>
        <w:t>完善</w:t>
      </w:r>
      <w:r>
        <w:rPr>
          <w:rFonts w:hint="eastAsia" w:ascii="楷体_GB2312" w:eastAsia="楷体_GB2312"/>
          <w:color w:val="auto"/>
          <w:sz w:val="32"/>
          <w:szCs w:val="32"/>
          <w:highlight w:val="none"/>
          <w:lang w:eastAsia="zh-CN"/>
        </w:rPr>
        <w:t>）</w:t>
      </w:r>
    </w:p>
    <w:bookmarkEnd w:id="19"/>
    <w:p>
      <w:pPr>
        <w:spacing w:line="580" w:lineRule="exact"/>
        <w:ind w:firstLine="642" w:firstLineChars="200"/>
        <w:outlineLvl w:val="1"/>
        <w:rPr>
          <w:rFonts w:eastAsia="楷体_GB2312"/>
          <w:b/>
          <w:bCs/>
          <w:color w:val="auto"/>
          <w:sz w:val="32"/>
          <w:szCs w:val="32"/>
          <w:highlight w:val="none"/>
        </w:rPr>
      </w:pPr>
      <w:bookmarkStart w:id="20" w:name="_Toc48920591"/>
      <w:r>
        <w:rPr>
          <w:rFonts w:eastAsia="楷体_GB2312"/>
          <w:b/>
          <w:bCs/>
          <w:color w:val="auto"/>
          <w:sz w:val="32"/>
          <w:szCs w:val="32"/>
          <w:highlight w:val="none"/>
        </w:rPr>
        <w:t>（二）</w:t>
      </w:r>
      <w:bookmarkEnd w:id="20"/>
      <w:bookmarkStart w:id="21" w:name="_Toc48920592"/>
      <w:r>
        <w:rPr>
          <w:rFonts w:eastAsia="楷体_GB2312"/>
          <w:b/>
          <w:bCs/>
          <w:color w:val="auto"/>
          <w:sz w:val="32"/>
          <w:szCs w:val="32"/>
          <w:highlight w:val="none"/>
        </w:rPr>
        <w:t>强化执法能力建设</w:t>
      </w:r>
      <w:bookmarkEnd w:id="21"/>
    </w:p>
    <w:p>
      <w:pPr>
        <w:pStyle w:val="2"/>
        <w:spacing w:after="0" w:line="560" w:lineRule="exact"/>
        <w:ind w:firstLine="640" w:firstLineChars="200"/>
        <w:rPr>
          <w:rFonts w:eastAsia="仿宋_GB2312"/>
          <w:color w:val="auto"/>
          <w:sz w:val="32"/>
          <w:szCs w:val="32"/>
          <w:highlight w:val="none"/>
        </w:rPr>
      </w:pPr>
      <w:r>
        <w:rPr>
          <w:rFonts w:hint="eastAsia" w:eastAsia="仿宋_GB2312"/>
          <w:color w:val="auto"/>
          <w:sz w:val="32"/>
          <w:szCs w:val="32"/>
          <w:highlight w:val="none"/>
        </w:rPr>
        <w:t>落实应急管理综合执法人员的资格准入、教育培训、考核奖惩、容错纠错、准军事化管理等制度，推动建立专业化、职业化安全监管执法队伍。</w:t>
      </w:r>
      <w:r>
        <w:rPr>
          <w:rFonts w:eastAsia="仿宋_GB2312"/>
          <w:color w:val="auto"/>
          <w:sz w:val="32"/>
          <w:szCs w:val="32"/>
          <w:highlight w:val="none"/>
        </w:rPr>
        <w:t>配齐配强安全生产监管执法专业人员力量。加强安全监管执法人员专业培训，依托现有资源建设执法人员实训基地。优化配置安全监管力量，实现安全监管网格化管理，推动安全监管服务向农村地区延伸。实施全</w:t>
      </w:r>
      <w:r>
        <w:rPr>
          <w:rFonts w:hint="eastAsia" w:eastAsia="仿宋_GB2312"/>
          <w:color w:val="auto"/>
          <w:sz w:val="32"/>
          <w:szCs w:val="32"/>
          <w:highlight w:val="none"/>
          <w:lang w:eastAsia="zh-CN"/>
        </w:rPr>
        <w:t>市</w:t>
      </w:r>
      <w:r>
        <w:rPr>
          <w:rFonts w:eastAsia="仿宋_GB2312"/>
          <w:color w:val="auto"/>
          <w:sz w:val="32"/>
          <w:szCs w:val="32"/>
          <w:highlight w:val="none"/>
        </w:rPr>
        <w:t>应急管理系统人才双向交流计划。</w:t>
      </w:r>
      <w:r>
        <w:rPr>
          <w:rFonts w:eastAsia="仿宋_GB2312"/>
          <w:color w:val="auto"/>
          <w:kern w:val="0"/>
          <w:sz w:val="32"/>
          <w:szCs w:val="32"/>
          <w:highlight w:val="none"/>
        </w:rPr>
        <w:t>加强</w:t>
      </w:r>
      <w:r>
        <w:rPr>
          <w:rFonts w:hint="eastAsia" w:eastAsia="仿宋_GB2312"/>
          <w:color w:val="auto"/>
          <w:kern w:val="0"/>
          <w:sz w:val="32"/>
          <w:szCs w:val="32"/>
          <w:highlight w:val="none"/>
        </w:rPr>
        <w:t>安全生产</w:t>
      </w:r>
      <w:r>
        <w:rPr>
          <w:rFonts w:eastAsia="仿宋_GB2312"/>
          <w:color w:val="auto"/>
          <w:kern w:val="0"/>
          <w:sz w:val="32"/>
          <w:szCs w:val="32"/>
          <w:highlight w:val="none"/>
        </w:rPr>
        <w:t>执法检查跨部门协同配合，建立健全联合执法机制。</w:t>
      </w:r>
      <w:r>
        <w:rPr>
          <w:rFonts w:eastAsia="仿宋_GB2312"/>
          <w:color w:val="auto"/>
          <w:sz w:val="32"/>
          <w:szCs w:val="32"/>
          <w:highlight w:val="none"/>
        </w:rPr>
        <w:t>强化执法保障，将执法工作经费纳入本级财政预算，加强执法人员职业保障，按规定参加工伤保险，完善工资待遇、人身意外险。强化各级应急管理综合行政执法机构标准化建设和负有安全生产监管职责的部门监管能力建设，完善执法装备配备标准，强化执法工作条件保障。</w:t>
      </w:r>
      <w:r>
        <w:rPr>
          <w:rFonts w:hint="eastAsia" w:eastAsia="仿宋_GB2312"/>
          <w:color w:val="auto"/>
          <w:sz w:val="32"/>
          <w:szCs w:val="32"/>
          <w:highlight w:val="none"/>
        </w:rPr>
        <w:t>（</w:t>
      </w:r>
      <w:r>
        <w:rPr>
          <w:rFonts w:hint="eastAsia" w:ascii="楷体_GB2312" w:eastAsia="楷体_GB2312"/>
          <w:color w:val="auto"/>
          <w:sz w:val="32"/>
          <w:szCs w:val="32"/>
          <w:highlight w:val="none"/>
          <w:lang w:eastAsia="zh-CN"/>
        </w:rPr>
        <w:t>市</w:t>
      </w:r>
      <w:r>
        <w:rPr>
          <w:rFonts w:hint="eastAsia" w:ascii="楷体_GB2312" w:eastAsia="楷体_GB2312"/>
          <w:color w:val="auto"/>
          <w:sz w:val="32"/>
          <w:szCs w:val="32"/>
          <w:highlight w:val="none"/>
        </w:rPr>
        <w:t>应急</w:t>
      </w:r>
      <w:r>
        <w:rPr>
          <w:rFonts w:hint="eastAsia" w:ascii="楷体_GB2312" w:eastAsia="楷体_GB2312"/>
          <w:color w:val="auto"/>
          <w:sz w:val="32"/>
          <w:szCs w:val="32"/>
          <w:highlight w:val="none"/>
          <w:lang w:eastAsia="zh-CN"/>
        </w:rPr>
        <w:t>局监管科、执法支队</w:t>
      </w:r>
      <w:r>
        <w:rPr>
          <w:rFonts w:hint="eastAsia" w:ascii="楷体_GB2312" w:eastAsia="楷体_GB2312"/>
          <w:color w:val="auto"/>
          <w:sz w:val="32"/>
          <w:szCs w:val="32"/>
          <w:highlight w:val="none"/>
        </w:rPr>
        <w:t>牵头完善</w:t>
      </w:r>
      <w:r>
        <w:rPr>
          <w:rFonts w:hint="eastAsia" w:eastAsia="仿宋_GB2312"/>
          <w:color w:val="auto"/>
          <w:sz w:val="32"/>
          <w:szCs w:val="32"/>
          <w:highlight w:val="none"/>
        </w:rPr>
        <w:t>）</w:t>
      </w:r>
      <w:bookmarkStart w:id="22" w:name="_Toc48920593"/>
    </w:p>
    <w:p>
      <w:pPr>
        <w:spacing w:line="580" w:lineRule="exact"/>
        <w:ind w:firstLine="640" w:firstLineChars="200"/>
        <w:rPr>
          <w:rFonts w:eastAsia="楷体_GB2312"/>
          <w:color w:val="auto"/>
          <w:sz w:val="32"/>
          <w:szCs w:val="32"/>
          <w:highlight w:val="none"/>
        </w:rPr>
      </w:pPr>
      <w:r>
        <w:rPr>
          <w:rFonts w:eastAsia="楷体_GB2312"/>
          <w:color w:val="auto"/>
          <w:sz w:val="32"/>
          <w:szCs w:val="32"/>
          <w:highlight w:val="none"/>
        </w:rPr>
        <w:t>（</w:t>
      </w:r>
      <w:r>
        <w:rPr>
          <w:rFonts w:hint="eastAsia" w:eastAsia="楷体_GB2312"/>
          <w:color w:val="auto"/>
          <w:sz w:val="32"/>
          <w:szCs w:val="32"/>
          <w:highlight w:val="none"/>
          <w:lang w:eastAsia="zh-CN"/>
        </w:rPr>
        <w:t>三</w:t>
      </w:r>
      <w:r>
        <w:rPr>
          <w:rFonts w:eastAsia="楷体_GB2312"/>
          <w:color w:val="auto"/>
          <w:sz w:val="32"/>
          <w:szCs w:val="32"/>
          <w:highlight w:val="none"/>
        </w:rPr>
        <w:t>）创新监管执法机制</w:t>
      </w:r>
      <w:bookmarkEnd w:id="22"/>
    </w:p>
    <w:p>
      <w:pPr>
        <w:spacing w:line="580" w:lineRule="exact"/>
        <w:ind w:firstLine="640" w:firstLineChars="200"/>
        <w:rPr>
          <w:rFonts w:eastAsia="仿宋_GB2312"/>
          <w:color w:val="auto"/>
          <w:sz w:val="32"/>
          <w:szCs w:val="32"/>
          <w:highlight w:val="none"/>
        </w:rPr>
      </w:pPr>
      <w:r>
        <w:rPr>
          <w:rFonts w:eastAsia="仿宋_GB2312"/>
          <w:color w:val="auto"/>
          <w:sz w:val="32"/>
          <w:szCs w:val="32"/>
          <w:highlight w:val="none"/>
        </w:rPr>
        <w:t>科学划分企业安全生产风险等级，加强对高风险企业的监督检查。科学制定市、县级安全执法检查计划，确定检查项目和频次。</w:t>
      </w:r>
      <w:r>
        <w:rPr>
          <w:rFonts w:eastAsia="仿宋_GB2312"/>
          <w:color w:val="auto"/>
          <w:kern w:val="0"/>
          <w:sz w:val="32"/>
          <w:szCs w:val="32"/>
          <w:highlight w:val="none"/>
        </w:rPr>
        <w:t>明确市县执法管辖范围和重点，合理划分不同层级执法职责、执法范围和执法重点，实施分类分级执法，避免多层多头重复执法、层层下</w:t>
      </w:r>
      <w:r>
        <w:rPr>
          <w:rFonts w:hint="eastAsia" w:eastAsia="仿宋_GB2312"/>
          <w:color w:val="auto"/>
          <w:kern w:val="0"/>
          <w:sz w:val="32"/>
          <w:szCs w:val="32"/>
          <w:highlight w:val="none"/>
        </w:rPr>
        <w:t>放</w:t>
      </w:r>
      <w:r>
        <w:rPr>
          <w:rFonts w:eastAsia="仿宋_GB2312"/>
          <w:color w:val="auto"/>
          <w:kern w:val="0"/>
          <w:sz w:val="32"/>
          <w:szCs w:val="32"/>
          <w:highlight w:val="none"/>
        </w:rPr>
        <w:t>转移执法责任。</w:t>
      </w:r>
      <w:r>
        <w:rPr>
          <w:rFonts w:hint="eastAsia" w:eastAsia="仿宋_GB2312"/>
          <w:color w:val="auto"/>
          <w:kern w:val="0"/>
          <w:sz w:val="32"/>
          <w:szCs w:val="32"/>
          <w:highlight w:val="none"/>
        </w:rPr>
        <w:t>确定各级执法管辖企业名单，原则上一家企业对应一个层级的执法主体，下级应急管理部门不对上级部门负责的企业开展执法活动。</w:t>
      </w:r>
      <w:r>
        <w:rPr>
          <w:rFonts w:eastAsia="仿宋_GB2312"/>
          <w:color w:val="auto"/>
          <w:kern w:val="0"/>
          <w:sz w:val="32"/>
          <w:szCs w:val="32"/>
          <w:highlight w:val="none"/>
        </w:rPr>
        <w:t>依法委托乡镇（街道）执法。</w:t>
      </w:r>
      <w:r>
        <w:rPr>
          <w:rFonts w:eastAsia="仿宋_GB2312"/>
          <w:color w:val="auto"/>
          <w:sz w:val="32"/>
          <w:szCs w:val="32"/>
          <w:highlight w:val="none"/>
        </w:rPr>
        <w:t>全面推行行政执法公示、执法全过程记录、重大执法决定法制审核等制度。完善安全执法监督机制，推进联合执法、区域执法、交叉执法，形成监管执法合力。建立政府购买服务和实施第三方协助监督检查的机制，推行执法效果评估制度。完善安全生产政府法律顾问、执法行为审议制度及重大行政执法决策机制。健全安全监管执法机构与公安、检察机关安全生产案情通报、证据互认、证据转换、法律适用、检验认定于处置等协作配合机制。</w:t>
      </w:r>
      <w:r>
        <w:rPr>
          <w:rFonts w:eastAsia="仿宋_GB2312"/>
          <w:color w:val="auto"/>
          <w:kern w:val="0"/>
          <w:sz w:val="32"/>
          <w:szCs w:val="32"/>
          <w:highlight w:val="none"/>
        </w:rPr>
        <w:t>深入推进“互联网+执法”系统完善升级和应用，大力推动网上执法、视频巡查、电子文书、智能辅助等新型执法模式，全面应用精准执法终端，提升精准执法能力。建立法律法规标准库和案例库，规范监管执法流程和自由裁量权</w:t>
      </w:r>
      <w:r>
        <w:rPr>
          <w:rFonts w:hint="eastAsia" w:eastAsia="仿宋_GB2312"/>
          <w:color w:val="auto"/>
          <w:kern w:val="0"/>
          <w:sz w:val="32"/>
          <w:szCs w:val="32"/>
          <w:highlight w:val="none"/>
        </w:rPr>
        <w:t>。严格遵照《刑法修正案（十一）》，加大对安全生产犯罪的预防惩治力度。</w:t>
      </w:r>
      <w:r>
        <w:rPr>
          <w:rFonts w:hint="eastAsia" w:eastAsia="仿宋_GB2312"/>
          <w:color w:val="auto"/>
          <w:sz w:val="32"/>
          <w:szCs w:val="32"/>
          <w:highlight w:val="none"/>
        </w:rPr>
        <w:t>（</w:t>
      </w:r>
      <w:r>
        <w:rPr>
          <w:rFonts w:hint="eastAsia" w:ascii="楷体_GB2312" w:eastAsia="楷体_GB2312"/>
          <w:color w:val="auto"/>
          <w:sz w:val="32"/>
          <w:szCs w:val="32"/>
          <w:highlight w:val="none"/>
          <w:lang w:eastAsia="zh-CN"/>
        </w:rPr>
        <w:t>市应急根据监管科、执法支队</w:t>
      </w:r>
      <w:r>
        <w:rPr>
          <w:rFonts w:hint="eastAsia" w:ascii="楷体_GB2312" w:eastAsia="楷体_GB2312"/>
          <w:color w:val="auto"/>
          <w:sz w:val="32"/>
          <w:szCs w:val="32"/>
          <w:highlight w:val="none"/>
        </w:rPr>
        <w:t>牵头完善</w:t>
      </w:r>
      <w:r>
        <w:rPr>
          <w:rFonts w:hint="eastAsia" w:eastAsia="仿宋_GB2312"/>
          <w:color w:val="auto"/>
          <w:sz w:val="32"/>
          <w:szCs w:val="32"/>
          <w:highlight w:val="none"/>
        </w:rPr>
        <w:t>）</w:t>
      </w:r>
    </w:p>
    <w:p>
      <w:pPr>
        <w:spacing w:line="580" w:lineRule="exact"/>
        <w:ind w:firstLine="640" w:firstLineChars="200"/>
        <w:outlineLvl w:val="0"/>
        <w:rPr>
          <w:rFonts w:eastAsia="黑体"/>
          <w:color w:val="auto"/>
          <w:sz w:val="32"/>
          <w:szCs w:val="32"/>
          <w:highlight w:val="none"/>
        </w:rPr>
      </w:pPr>
      <w:bookmarkStart w:id="23" w:name="_Toc18923_WPSOffice_Level1"/>
      <w:r>
        <w:rPr>
          <w:rFonts w:eastAsia="黑体"/>
          <w:color w:val="auto"/>
          <w:sz w:val="32"/>
          <w:szCs w:val="32"/>
          <w:highlight w:val="none"/>
        </w:rPr>
        <w:t>五、筑牢安全风险防控屏障</w:t>
      </w:r>
      <w:bookmarkEnd w:id="23"/>
    </w:p>
    <w:p>
      <w:pPr>
        <w:spacing w:line="580" w:lineRule="exact"/>
        <w:ind w:firstLine="642" w:firstLineChars="200"/>
        <w:outlineLvl w:val="1"/>
        <w:rPr>
          <w:rFonts w:eastAsia="楷体_GB2312"/>
          <w:b/>
          <w:bCs/>
          <w:color w:val="auto"/>
          <w:sz w:val="32"/>
          <w:szCs w:val="32"/>
          <w:highlight w:val="none"/>
        </w:rPr>
      </w:pPr>
      <w:bookmarkStart w:id="24" w:name="_Toc17267_WPSOffice_Level2"/>
      <w:r>
        <w:rPr>
          <w:rFonts w:eastAsia="楷体_GB2312"/>
          <w:b/>
          <w:bCs/>
          <w:color w:val="auto"/>
          <w:sz w:val="32"/>
          <w:szCs w:val="32"/>
          <w:highlight w:val="none"/>
        </w:rPr>
        <w:t>（一）优化城市安全格局</w:t>
      </w:r>
      <w:bookmarkEnd w:id="24"/>
    </w:p>
    <w:p>
      <w:pPr>
        <w:spacing w:line="580" w:lineRule="exact"/>
        <w:ind w:firstLine="640" w:firstLineChars="200"/>
        <w:rPr>
          <w:rFonts w:eastAsia="仿宋_GB2312"/>
          <w:color w:val="auto"/>
          <w:sz w:val="32"/>
          <w:szCs w:val="32"/>
          <w:highlight w:val="none"/>
        </w:rPr>
      </w:pPr>
      <w:r>
        <w:rPr>
          <w:rFonts w:hint="eastAsia" w:eastAsia="仿宋_GB2312"/>
          <w:color w:val="auto"/>
          <w:sz w:val="32"/>
          <w:szCs w:val="32"/>
          <w:highlight w:val="none"/>
        </w:rPr>
        <w:t>全面推广城市生命线安全工程“合肥模式”，推动工程建设由燃气、桥梁、供水领域向其他领域覆盖。到</w:t>
      </w:r>
      <w:r>
        <w:rPr>
          <w:rFonts w:eastAsia="仿宋_GB2312"/>
          <w:color w:val="auto"/>
          <w:sz w:val="32"/>
          <w:szCs w:val="32"/>
          <w:highlight w:val="none"/>
        </w:rPr>
        <w:t>2022年，基本构建以燃气、桥梁、</w:t>
      </w:r>
      <w:r>
        <w:rPr>
          <w:rFonts w:hint="eastAsia" w:eastAsia="仿宋_GB2312"/>
          <w:color w:val="auto"/>
          <w:sz w:val="32"/>
          <w:szCs w:val="32"/>
          <w:highlight w:val="none"/>
        </w:rPr>
        <w:t>供水为重点，覆盖</w:t>
      </w:r>
      <w:r>
        <w:rPr>
          <w:rFonts w:hint="eastAsia" w:eastAsia="仿宋_GB2312"/>
          <w:color w:val="auto"/>
          <w:sz w:val="32"/>
          <w:szCs w:val="32"/>
          <w:highlight w:val="none"/>
          <w:lang w:eastAsia="zh-CN"/>
        </w:rPr>
        <w:t>市</w:t>
      </w:r>
      <w:r>
        <w:rPr>
          <w:rFonts w:eastAsia="仿宋_GB2312"/>
          <w:color w:val="auto"/>
          <w:sz w:val="32"/>
          <w:szCs w:val="32"/>
          <w:highlight w:val="none"/>
        </w:rPr>
        <w:t>建成区及县(</w:t>
      </w:r>
      <w:r>
        <w:rPr>
          <w:rFonts w:hint="eastAsia" w:eastAsia="仿宋_GB2312"/>
          <w:color w:val="auto"/>
          <w:sz w:val="32"/>
          <w:szCs w:val="32"/>
          <w:highlight w:val="none"/>
          <w:lang w:eastAsia="zh-CN"/>
        </w:rPr>
        <w:t>开发区</w:t>
      </w:r>
      <w:r>
        <w:rPr>
          <w:rFonts w:eastAsia="仿宋_GB2312"/>
          <w:color w:val="auto"/>
          <w:sz w:val="32"/>
          <w:szCs w:val="32"/>
          <w:highlight w:val="none"/>
        </w:rPr>
        <w:t>)的城市生</w:t>
      </w:r>
      <w:r>
        <w:rPr>
          <w:rFonts w:hint="eastAsia" w:eastAsia="仿宋_GB2312"/>
          <w:color w:val="auto"/>
          <w:sz w:val="32"/>
          <w:szCs w:val="32"/>
          <w:highlight w:val="none"/>
        </w:rPr>
        <w:t>命线安全工程主框架；</w:t>
      </w:r>
      <w:r>
        <w:rPr>
          <w:rFonts w:eastAsia="仿宋_GB2312"/>
          <w:color w:val="auto"/>
          <w:sz w:val="32"/>
          <w:szCs w:val="32"/>
          <w:highlight w:val="none"/>
        </w:rPr>
        <w:t>到2025年，实现城市生命线安全工程全面覆盖，城市安全风险管控能力显著增强，力争</w:t>
      </w:r>
      <w:r>
        <w:rPr>
          <w:rFonts w:hint="eastAsia" w:eastAsia="仿宋_GB2312"/>
          <w:color w:val="auto"/>
          <w:sz w:val="32"/>
          <w:szCs w:val="32"/>
          <w:highlight w:val="none"/>
          <w:lang w:eastAsia="zh-CN"/>
        </w:rPr>
        <w:t>县区</w:t>
      </w:r>
      <w:r>
        <w:rPr>
          <w:rFonts w:eastAsia="仿宋_GB2312"/>
          <w:color w:val="auto"/>
          <w:sz w:val="32"/>
          <w:szCs w:val="32"/>
          <w:highlight w:val="none"/>
        </w:rPr>
        <w:t>全部建成国家安全发展示范城市。</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市城市管理局</w:t>
      </w:r>
      <w:r>
        <w:rPr>
          <w:rFonts w:hint="eastAsia" w:ascii="楷体_GB2312" w:eastAsia="楷体_GB2312"/>
          <w:color w:val="auto"/>
          <w:sz w:val="32"/>
          <w:szCs w:val="32"/>
          <w:highlight w:val="none"/>
        </w:rPr>
        <w:t>牵头完善）</w:t>
      </w:r>
    </w:p>
    <w:p>
      <w:pPr>
        <w:spacing w:line="580" w:lineRule="exact"/>
        <w:ind w:firstLine="640" w:firstLineChars="200"/>
        <w:rPr>
          <w:rFonts w:eastAsia="仿宋_GB2312"/>
          <w:color w:val="auto"/>
          <w:sz w:val="32"/>
          <w:szCs w:val="32"/>
          <w:highlight w:val="none"/>
        </w:rPr>
      </w:pPr>
      <w:r>
        <w:rPr>
          <w:rFonts w:eastAsia="仿宋_GB2312"/>
          <w:color w:val="auto"/>
          <w:sz w:val="32"/>
          <w:szCs w:val="32"/>
          <w:highlight w:val="none"/>
        </w:rPr>
        <w:t>完善规划安全风险评估会商机制，推动形成有效防控重大安全风险的城市空间安全发展格局。全面开展城市安全风险评估，健全城市建设与运行安全风险管控责任体系和重大安全风险联防联控机制，加强城市治理中的风险防控。强化与市政设施配套的安全设施建设，推动将公共安全设施。消防训练、安全科普教育基地等纳入控制性详细规划和国土空间规划“一张图”</w:t>
      </w:r>
      <w:r>
        <w:rPr>
          <w:rFonts w:hint="eastAsia" w:eastAsia="仿宋_GB2312"/>
          <w:color w:val="auto"/>
          <w:sz w:val="32"/>
          <w:szCs w:val="32"/>
          <w:highlight w:val="none"/>
        </w:rPr>
        <w:t>。</w:t>
      </w:r>
      <w:r>
        <w:rPr>
          <w:rFonts w:eastAsia="仿宋_GB2312"/>
          <w:color w:val="auto"/>
          <w:sz w:val="32"/>
          <w:szCs w:val="32"/>
          <w:highlight w:val="none"/>
        </w:rPr>
        <w:t>加强城市高层建筑、大型综合体</w:t>
      </w:r>
      <w:r>
        <w:rPr>
          <w:rFonts w:hint="eastAsia" w:eastAsia="仿宋_GB2312"/>
          <w:color w:val="auto"/>
          <w:sz w:val="32"/>
          <w:szCs w:val="32"/>
          <w:highlight w:val="none"/>
        </w:rPr>
        <w:t>、</w:t>
      </w:r>
      <w:r>
        <w:rPr>
          <w:rFonts w:eastAsia="仿宋_GB2312"/>
          <w:color w:val="auto"/>
          <w:sz w:val="32"/>
          <w:szCs w:val="32"/>
          <w:highlight w:val="none"/>
        </w:rPr>
        <w:t>综合交通枢纽、隧道桥梁</w:t>
      </w:r>
      <w:r>
        <w:rPr>
          <w:rFonts w:hint="eastAsia" w:eastAsia="仿宋_GB2312"/>
          <w:color w:val="auto"/>
          <w:sz w:val="32"/>
          <w:szCs w:val="32"/>
          <w:highlight w:val="none"/>
        </w:rPr>
        <w:t>、</w:t>
      </w:r>
      <w:r>
        <w:rPr>
          <w:rFonts w:eastAsia="仿宋_GB2312"/>
          <w:color w:val="auto"/>
          <w:sz w:val="32"/>
          <w:szCs w:val="32"/>
          <w:highlight w:val="none"/>
        </w:rPr>
        <w:t>管线管廊</w:t>
      </w:r>
      <w:r>
        <w:rPr>
          <w:rFonts w:hint="eastAsia" w:eastAsia="仿宋_GB2312"/>
          <w:color w:val="auto"/>
          <w:sz w:val="32"/>
          <w:szCs w:val="32"/>
          <w:highlight w:val="none"/>
        </w:rPr>
        <w:t>、</w:t>
      </w:r>
      <w:r>
        <w:rPr>
          <w:rFonts w:eastAsia="仿宋_GB2312"/>
          <w:color w:val="auto"/>
          <w:sz w:val="32"/>
          <w:szCs w:val="32"/>
          <w:highlight w:val="none"/>
        </w:rPr>
        <w:t>道路交通</w:t>
      </w:r>
      <w:r>
        <w:rPr>
          <w:rFonts w:hint="eastAsia" w:eastAsia="仿宋_GB2312"/>
          <w:color w:val="auto"/>
          <w:sz w:val="32"/>
          <w:szCs w:val="32"/>
          <w:highlight w:val="none"/>
        </w:rPr>
        <w:t>、</w:t>
      </w:r>
      <w:r>
        <w:rPr>
          <w:rFonts w:eastAsia="仿宋_GB2312"/>
          <w:color w:val="auto"/>
          <w:sz w:val="32"/>
          <w:szCs w:val="32"/>
          <w:highlight w:val="none"/>
        </w:rPr>
        <w:t>燃气、排水防涝、垃圾填埋场、渣土受纳场、电力设施、公园等的安全风险管控。加强城市棚户区</w:t>
      </w:r>
      <w:r>
        <w:rPr>
          <w:rFonts w:hint="eastAsia" w:eastAsia="仿宋_GB2312"/>
          <w:color w:val="auto"/>
          <w:sz w:val="32"/>
          <w:szCs w:val="32"/>
          <w:highlight w:val="none"/>
        </w:rPr>
        <w:t>、</w:t>
      </w:r>
      <w:r>
        <w:rPr>
          <w:rFonts w:eastAsia="仿宋_GB2312"/>
          <w:color w:val="auto"/>
          <w:sz w:val="32"/>
          <w:szCs w:val="32"/>
          <w:highlight w:val="none"/>
        </w:rPr>
        <w:t>城中村</w:t>
      </w:r>
      <w:r>
        <w:rPr>
          <w:rFonts w:hint="eastAsia" w:eastAsia="仿宋_GB2312"/>
          <w:color w:val="auto"/>
          <w:sz w:val="32"/>
          <w:szCs w:val="32"/>
          <w:highlight w:val="none"/>
        </w:rPr>
        <w:t>、</w:t>
      </w:r>
      <w:r>
        <w:rPr>
          <w:rFonts w:eastAsia="仿宋_GB2312"/>
          <w:color w:val="auto"/>
          <w:sz w:val="32"/>
          <w:szCs w:val="32"/>
          <w:highlight w:val="none"/>
        </w:rPr>
        <w:t>城镇老旧小区与危房改造的安全监管，实施城市塌（沉）陷区安全专项治理。强化城市电力安全监测和运行安全分析，提升大面积停电事故的防范和应急处置能力。</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市城市管理局、市住房城乡建设局</w:t>
      </w:r>
      <w:r>
        <w:rPr>
          <w:rFonts w:hint="eastAsia" w:ascii="楷体_GB2312" w:eastAsia="楷体_GB2312"/>
          <w:color w:val="auto"/>
          <w:sz w:val="32"/>
          <w:szCs w:val="32"/>
          <w:highlight w:val="none"/>
        </w:rPr>
        <w:t>牵头完善）</w:t>
      </w:r>
    </w:p>
    <w:p>
      <w:pPr>
        <w:spacing w:line="580" w:lineRule="exact"/>
        <w:ind w:firstLine="642" w:firstLineChars="200"/>
        <w:outlineLvl w:val="1"/>
        <w:rPr>
          <w:rFonts w:eastAsia="楷体_GB2312"/>
          <w:b/>
          <w:bCs/>
          <w:color w:val="auto"/>
          <w:sz w:val="32"/>
          <w:szCs w:val="32"/>
          <w:highlight w:val="none"/>
        </w:rPr>
      </w:pPr>
      <w:bookmarkStart w:id="25" w:name="_Toc16021_WPSOffice_Level2"/>
      <w:r>
        <w:rPr>
          <w:rFonts w:eastAsia="楷体_GB2312"/>
          <w:b/>
          <w:bCs/>
          <w:color w:val="auto"/>
          <w:sz w:val="32"/>
          <w:szCs w:val="32"/>
          <w:highlight w:val="none"/>
        </w:rPr>
        <w:t>（二）严格安全生产准入</w:t>
      </w:r>
      <w:bookmarkEnd w:id="25"/>
    </w:p>
    <w:p>
      <w:pPr>
        <w:pStyle w:val="4"/>
        <w:spacing w:before="0" w:after="0" w:line="580" w:lineRule="exact"/>
        <w:ind w:firstLine="640" w:firstLineChars="200"/>
        <w:rPr>
          <w:rFonts w:ascii="Times New Roman" w:hAnsi="Times New Roman" w:eastAsia="仿宋_GB2312" w:cs="Times New Roman"/>
          <w:b w:val="0"/>
          <w:bCs w:val="0"/>
          <w:color w:val="auto"/>
          <w:kern w:val="2"/>
          <w:sz w:val="32"/>
          <w:szCs w:val="32"/>
          <w:highlight w:val="none"/>
          <w:lang w:val="en-US" w:eastAsia="zh-CN" w:bidi="ar-SA"/>
        </w:rPr>
      </w:pPr>
      <w:r>
        <w:rPr>
          <w:rFonts w:ascii="Times New Roman" w:hAnsi="Times New Roman" w:eastAsia="仿宋_GB2312" w:cs="Times New Roman"/>
          <w:b w:val="0"/>
          <w:bCs w:val="0"/>
          <w:color w:val="auto"/>
          <w:kern w:val="2"/>
          <w:sz w:val="32"/>
          <w:szCs w:val="32"/>
          <w:highlight w:val="none"/>
          <w:lang w:val="en-US" w:eastAsia="zh-CN" w:bidi="ar-SA"/>
        </w:rPr>
        <w:t>加强企业安全生产标准化建设，加快推进重点行业领域企业安全生产标准化达标升级，推动企业标准化与企业安全生产治理体系深度融合，实施安全生产企业标准“一企一策”。鼓励企业、社会团体聚焦应急管理新技术、新产业、新业态和新模式，制定严于地方标准的企业标准、团体标准。严格落实企业标准化创建、复评、退出等机制，</w:t>
      </w:r>
      <w:r>
        <w:rPr>
          <w:rFonts w:hint="eastAsia" w:ascii="Times New Roman" w:hAnsi="Times New Roman" w:eastAsia="仿宋_GB2312" w:cs="Times New Roman"/>
          <w:b w:val="0"/>
          <w:bCs w:val="0"/>
          <w:color w:val="auto"/>
          <w:kern w:val="2"/>
          <w:sz w:val="32"/>
          <w:szCs w:val="32"/>
          <w:highlight w:val="none"/>
          <w:lang w:val="en-US" w:eastAsia="zh-CN" w:bidi="ar-SA"/>
        </w:rPr>
        <w:t>引领生产经营单位开展标准化“提档升级”活动，推动具备条件的企业创建一级、二级标准化企业，积极培植安全生产管理示范企业，将运行双重预防体系作为申请安全标准化的前置条件。</w:t>
      </w:r>
      <w:r>
        <w:rPr>
          <w:rFonts w:ascii="Times New Roman" w:hAnsi="Times New Roman" w:eastAsia="仿宋_GB2312" w:cs="Times New Roman"/>
          <w:b w:val="0"/>
          <w:bCs w:val="0"/>
          <w:color w:val="auto"/>
          <w:kern w:val="2"/>
          <w:sz w:val="32"/>
          <w:szCs w:val="32"/>
          <w:highlight w:val="none"/>
          <w:lang w:val="en-US" w:eastAsia="zh-CN" w:bidi="ar-SA"/>
        </w:rPr>
        <w:t>到2025年</w:t>
      </w:r>
      <w:r>
        <w:rPr>
          <w:rFonts w:hint="eastAsia" w:ascii="Times New Roman" w:hAnsi="Times New Roman" w:eastAsia="仿宋_GB2312" w:cs="Times New Roman"/>
          <w:b w:val="0"/>
          <w:bCs w:val="0"/>
          <w:color w:val="auto"/>
          <w:kern w:val="2"/>
          <w:sz w:val="32"/>
          <w:szCs w:val="32"/>
          <w:highlight w:val="none"/>
          <w:lang w:val="en-US" w:eastAsia="zh-CN" w:bidi="ar-SA"/>
        </w:rPr>
        <w:t>，</w:t>
      </w:r>
      <w:r>
        <w:rPr>
          <w:rFonts w:ascii="Times New Roman" w:hAnsi="Times New Roman" w:eastAsia="仿宋_GB2312" w:cs="Times New Roman"/>
          <w:b w:val="0"/>
          <w:bCs w:val="0"/>
          <w:color w:val="auto"/>
          <w:kern w:val="2"/>
          <w:sz w:val="32"/>
          <w:szCs w:val="32"/>
          <w:highlight w:val="none"/>
          <w:lang w:val="en-US" w:eastAsia="zh-CN" w:bidi="ar-SA"/>
        </w:rPr>
        <w:t>企业安全生产标准化建设率达到80%，其中高危行业企业和规模以上企业达标率达到100%。</w:t>
      </w:r>
      <w:r>
        <w:rPr>
          <w:rFonts w:hint="eastAsia" w:ascii="Times New Roman" w:hAnsi="Times New Roman" w:eastAsia="仿宋_GB2312" w:cs="Times New Roman"/>
          <w:b w:val="0"/>
          <w:bCs w:val="0"/>
          <w:color w:val="auto"/>
          <w:kern w:val="2"/>
          <w:sz w:val="32"/>
          <w:szCs w:val="32"/>
          <w:highlight w:val="none"/>
          <w:lang w:val="en-US" w:eastAsia="zh-CN" w:bidi="ar-SA"/>
        </w:rPr>
        <w:t>深</w:t>
      </w:r>
      <w:r>
        <w:rPr>
          <w:rFonts w:ascii="Times New Roman" w:hAnsi="Times New Roman" w:eastAsia="仿宋_GB2312" w:cs="Times New Roman"/>
          <w:b w:val="0"/>
          <w:bCs w:val="0"/>
          <w:color w:val="auto"/>
          <w:kern w:val="2"/>
          <w:sz w:val="32"/>
          <w:szCs w:val="32"/>
          <w:highlight w:val="none"/>
          <w:lang w:val="en-US" w:eastAsia="zh-CN" w:bidi="ar-SA"/>
        </w:rPr>
        <w:t>化产业园区安全风险评估与规划布局，推进产业园区安全入园的清单管理。严格高危行业领域建设项目安全审查，</w:t>
      </w:r>
      <w:r>
        <w:rPr>
          <w:rFonts w:hint="eastAsia" w:ascii="Times New Roman" w:hAnsi="Times New Roman" w:eastAsia="仿宋_GB2312" w:cs="Times New Roman"/>
          <w:b w:val="0"/>
          <w:bCs w:val="0"/>
          <w:color w:val="auto"/>
          <w:kern w:val="2"/>
          <w:sz w:val="32"/>
          <w:szCs w:val="32"/>
          <w:highlight w:val="none"/>
          <w:lang w:val="en-US" w:eastAsia="zh-CN" w:bidi="ar-SA"/>
        </w:rPr>
        <w:t>完善</w:t>
      </w:r>
      <w:r>
        <w:rPr>
          <w:rFonts w:ascii="Times New Roman" w:hAnsi="Times New Roman" w:eastAsia="仿宋_GB2312" w:cs="Times New Roman"/>
          <w:b w:val="0"/>
          <w:bCs w:val="0"/>
          <w:color w:val="auto"/>
          <w:kern w:val="2"/>
          <w:sz w:val="32"/>
          <w:szCs w:val="32"/>
          <w:highlight w:val="none"/>
          <w:lang w:val="en-US" w:eastAsia="zh-CN" w:bidi="ar-SA"/>
        </w:rPr>
        <w:t>建设项目安全设施“三同时”制度。严格淘汰不符合安全生产强制性标准的工艺技术装备材料。提高高危行业领域企业主要负责人、安全生产管理人员和特种作业人员等从业人员安全素质，严格执行“两个禁入”。严格危险化学品、矿山等重点行业领域关键岗位操作人员强制配备与资格准入。</w:t>
      </w:r>
      <w:r>
        <w:rPr>
          <w:rFonts w:hint="eastAsia" w:ascii="Times New Roman" w:hAnsi="Times New Roman" w:eastAsia="仿宋_GB2312" w:cs="Times New Roman"/>
          <w:b w:val="0"/>
          <w:bCs w:val="0"/>
          <w:color w:val="auto"/>
          <w:kern w:val="2"/>
          <w:sz w:val="32"/>
          <w:szCs w:val="32"/>
          <w:highlight w:val="none"/>
          <w:lang w:val="en-US" w:eastAsia="zh-CN" w:bidi="ar-SA"/>
        </w:rPr>
        <w:t>（各有关单位依据职责完善）</w:t>
      </w:r>
    </w:p>
    <w:p>
      <w:pPr>
        <w:spacing w:line="580" w:lineRule="exact"/>
        <w:ind w:firstLine="642" w:firstLineChars="200"/>
        <w:outlineLvl w:val="1"/>
        <w:rPr>
          <w:rFonts w:eastAsia="楷体_GB2312"/>
          <w:b/>
          <w:bCs/>
          <w:color w:val="auto"/>
          <w:sz w:val="32"/>
          <w:szCs w:val="32"/>
          <w:highlight w:val="none"/>
        </w:rPr>
      </w:pPr>
      <w:bookmarkStart w:id="26" w:name="_Toc10063_WPSOffice_Level2"/>
      <w:r>
        <w:rPr>
          <w:rFonts w:eastAsia="楷体_GB2312"/>
          <w:b/>
          <w:bCs/>
          <w:color w:val="auto"/>
          <w:sz w:val="32"/>
          <w:szCs w:val="32"/>
          <w:highlight w:val="none"/>
        </w:rPr>
        <w:t>（三）强化风险监测预警</w:t>
      </w:r>
      <w:bookmarkEnd w:id="26"/>
    </w:p>
    <w:p>
      <w:pPr>
        <w:spacing w:line="580" w:lineRule="exact"/>
        <w:ind w:firstLine="640" w:firstLineChars="200"/>
        <w:rPr>
          <w:rFonts w:ascii="楷体_GB2312" w:eastAsia="楷体_GB2312"/>
          <w:color w:val="auto"/>
          <w:sz w:val="32"/>
          <w:szCs w:val="32"/>
          <w:highlight w:val="none"/>
        </w:rPr>
      </w:pPr>
      <w:r>
        <w:rPr>
          <w:rFonts w:eastAsia="仿宋_GB2312"/>
          <w:color w:val="auto"/>
          <w:sz w:val="32"/>
          <w:szCs w:val="32"/>
          <w:highlight w:val="none"/>
        </w:rPr>
        <w:t>推动安全生产深度融入“平安</w:t>
      </w:r>
      <w:r>
        <w:rPr>
          <w:rFonts w:hint="eastAsia" w:eastAsia="仿宋_GB2312"/>
          <w:color w:val="auto"/>
          <w:sz w:val="32"/>
          <w:szCs w:val="32"/>
          <w:highlight w:val="none"/>
        </w:rPr>
        <w:t>安徽</w:t>
      </w:r>
      <w:r>
        <w:rPr>
          <w:rFonts w:eastAsia="仿宋_GB2312"/>
          <w:color w:val="auto"/>
          <w:sz w:val="32"/>
          <w:szCs w:val="32"/>
          <w:highlight w:val="none"/>
        </w:rPr>
        <w:t>”“智慧城市”“城市更新”建设，强化安全风险动态监测、预警、识别、评估和处置。建立大客流监测预警和应急管控处置机制。加强重大活动安全风险评估。严密防控电化学储能站等新技术新产业新业态安全风险。加快推进各行业领域安全生产风险监测预警系统建设</w:t>
      </w:r>
      <w:r>
        <w:rPr>
          <w:rFonts w:hint="eastAsia" w:eastAsia="仿宋_GB2312"/>
          <w:color w:val="auto"/>
          <w:sz w:val="32"/>
          <w:szCs w:val="32"/>
          <w:highlight w:val="none"/>
        </w:rPr>
        <w:t>，</w:t>
      </w:r>
      <w:r>
        <w:rPr>
          <w:rFonts w:eastAsia="仿宋_GB2312"/>
          <w:color w:val="auto"/>
          <w:sz w:val="32"/>
          <w:szCs w:val="32"/>
          <w:highlight w:val="none"/>
        </w:rPr>
        <w:t>构建重大安全风险防控的全生命周期管理模式。开展智能化作业和危险岗位的机器人替代，实施安全风险综合防范工程，有序推进智能化试点，在关键风险位置实施“机械化换人、自动化减人”。推动5G、物联网、大数据、人工智能、自动控制等技术与安全生产风险防控的深度融合，实施智能化工厂、数字化车间、网络化平台项目试点。加强化工、桥梁、隧道、电力、油气、水利等重大工程和设施安全风险防控。</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市应急管理局办公室</w:t>
      </w:r>
      <w:r>
        <w:rPr>
          <w:rFonts w:hint="eastAsia" w:ascii="楷体_GB2312" w:eastAsia="楷体_GB2312"/>
          <w:color w:val="auto"/>
          <w:sz w:val="32"/>
          <w:szCs w:val="32"/>
          <w:highlight w:val="none"/>
        </w:rPr>
        <w:t>牵头完善）</w:t>
      </w:r>
    </w:p>
    <w:p>
      <w:pPr>
        <w:spacing w:line="580" w:lineRule="exact"/>
        <w:ind w:firstLine="642" w:firstLineChars="200"/>
        <w:outlineLvl w:val="1"/>
        <w:rPr>
          <w:rFonts w:eastAsia="楷体_GB2312"/>
          <w:b/>
          <w:bCs/>
          <w:color w:val="auto"/>
          <w:sz w:val="32"/>
          <w:szCs w:val="32"/>
          <w:highlight w:val="none"/>
        </w:rPr>
      </w:pPr>
      <w:bookmarkStart w:id="27" w:name="_Toc3508_WPSOffice_Level2"/>
      <w:r>
        <w:rPr>
          <w:rFonts w:eastAsia="楷体_GB2312"/>
          <w:b/>
          <w:bCs/>
          <w:color w:val="auto"/>
          <w:sz w:val="32"/>
          <w:szCs w:val="32"/>
          <w:highlight w:val="none"/>
        </w:rPr>
        <w:t>（四）精准排查治理隐患</w:t>
      </w:r>
      <w:bookmarkEnd w:id="27"/>
    </w:p>
    <w:p>
      <w:pPr>
        <w:spacing w:line="600" w:lineRule="exact"/>
        <w:ind w:firstLine="640" w:firstLineChars="200"/>
        <w:rPr>
          <w:rFonts w:eastAsia="仿宋_GB2312"/>
          <w:color w:val="auto"/>
          <w:sz w:val="32"/>
          <w:szCs w:val="32"/>
          <w:highlight w:val="none"/>
        </w:rPr>
      </w:pPr>
      <w:r>
        <w:rPr>
          <w:rFonts w:eastAsia="仿宋_GB2312"/>
          <w:color w:val="auto"/>
          <w:sz w:val="32"/>
          <w:szCs w:val="32"/>
          <w:highlight w:val="none"/>
        </w:rPr>
        <w:t>深入推进</w:t>
      </w:r>
      <w:r>
        <w:rPr>
          <w:rFonts w:hint="eastAsia" w:eastAsia="仿宋_GB2312"/>
          <w:color w:val="auto"/>
          <w:sz w:val="32"/>
          <w:szCs w:val="32"/>
          <w:highlight w:val="none"/>
        </w:rPr>
        <w:t>“1+</w:t>
      </w:r>
      <w:r>
        <w:rPr>
          <w:rFonts w:hint="eastAsia" w:eastAsia="仿宋_GB2312"/>
          <w:color w:val="auto"/>
          <w:sz w:val="32"/>
          <w:szCs w:val="32"/>
          <w:highlight w:val="none"/>
          <w:lang w:val="en-US" w:eastAsia="zh-CN"/>
        </w:rPr>
        <w:t>2</w:t>
      </w:r>
      <w:r>
        <w:rPr>
          <w:rFonts w:hint="eastAsia" w:eastAsia="仿宋_GB2312"/>
          <w:color w:val="auto"/>
          <w:sz w:val="32"/>
          <w:szCs w:val="32"/>
          <w:highlight w:val="none"/>
        </w:rPr>
        <w:t>+</w:t>
      </w:r>
      <w:r>
        <w:rPr>
          <w:rFonts w:hint="eastAsia" w:eastAsia="仿宋_GB2312"/>
          <w:color w:val="auto"/>
          <w:sz w:val="32"/>
          <w:szCs w:val="32"/>
          <w:highlight w:val="none"/>
          <w:lang w:val="en-US" w:eastAsia="zh-CN"/>
        </w:rPr>
        <w:t>22</w:t>
      </w:r>
      <w:r>
        <w:rPr>
          <w:rFonts w:hint="eastAsia" w:eastAsia="仿宋_GB2312"/>
          <w:color w:val="auto"/>
          <w:sz w:val="32"/>
          <w:szCs w:val="32"/>
          <w:highlight w:val="none"/>
        </w:rPr>
        <w:t>”</w:t>
      </w:r>
      <w:r>
        <w:rPr>
          <w:rFonts w:eastAsia="仿宋_GB2312"/>
          <w:color w:val="auto"/>
          <w:sz w:val="32"/>
          <w:szCs w:val="32"/>
          <w:highlight w:val="none"/>
        </w:rPr>
        <w:t>安全生产专项整治三年行动，建立专项整治成果评估推广应用机制，总结推广专项整治在责任体系、工作机制、制度规范和技术标准等方面的典型经验做法。强化危险化学品、</w:t>
      </w:r>
      <w:r>
        <w:rPr>
          <w:rFonts w:hint="eastAsia" w:eastAsia="仿宋_GB2312"/>
          <w:color w:val="auto"/>
          <w:sz w:val="32"/>
          <w:szCs w:val="32"/>
          <w:highlight w:val="none"/>
          <w:lang w:eastAsia="zh-CN"/>
        </w:rPr>
        <w:t>煤矿</w:t>
      </w:r>
      <w:r>
        <w:rPr>
          <w:rFonts w:eastAsia="仿宋_GB2312"/>
          <w:color w:val="auto"/>
          <w:sz w:val="32"/>
          <w:szCs w:val="32"/>
          <w:highlight w:val="none"/>
        </w:rPr>
        <w:t>等重点行业领域企业“一企一策”指导服务</w:t>
      </w:r>
      <w:r>
        <w:rPr>
          <w:rFonts w:hint="eastAsia" w:eastAsia="仿宋_GB2312"/>
          <w:color w:val="auto"/>
          <w:sz w:val="32"/>
          <w:szCs w:val="32"/>
          <w:highlight w:val="none"/>
        </w:rPr>
        <w:t>，</w:t>
      </w:r>
      <w:r>
        <w:rPr>
          <w:rFonts w:eastAsia="仿宋_GB2312"/>
          <w:color w:val="auto"/>
          <w:sz w:val="32"/>
          <w:szCs w:val="32"/>
          <w:highlight w:val="none"/>
        </w:rPr>
        <w:t>加大仓储物流、储能设施、农村道路、涉疫企业的隐患排查治理力度。</w:t>
      </w:r>
      <w:r>
        <w:rPr>
          <w:rFonts w:eastAsia="仿宋_GB2312"/>
          <w:color w:val="auto"/>
          <w:sz w:val="32"/>
          <w:szCs w:val="32"/>
          <w:highlight w:val="none"/>
        </w:rPr>
        <w:t>健全重大隐患治理督办制度。完善安全生产隐患举报奖励制度，鼓励启用匿名举报，畅通安全生产隐患举报渠道。完善举报信息收集、核实、受理和查处的办事程序和规章制度，落实安全生产隐患举报奖励，依法保护举报人的合法权益。借助云计算、大数据技术，健全事故隐患数据库，加强对重大隐患的动态分析和全过程记录管理。</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市应急管理局综合协调科</w:t>
      </w:r>
      <w:r>
        <w:rPr>
          <w:rFonts w:hint="eastAsia" w:ascii="楷体_GB2312" w:eastAsia="楷体_GB2312"/>
          <w:color w:val="auto"/>
          <w:sz w:val="32"/>
          <w:szCs w:val="32"/>
          <w:highlight w:val="none"/>
        </w:rPr>
        <w:t>牵头完善）</w:t>
      </w:r>
    </w:p>
    <w:p>
      <w:pPr>
        <w:spacing w:line="540" w:lineRule="exact"/>
        <w:ind w:firstLine="640" w:firstLineChars="200"/>
        <w:outlineLvl w:val="0"/>
        <w:rPr>
          <w:rFonts w:eastAsia="黑体"/>
          <w:color w:val="auto"/>
          <w:sz w:val="32"/>
          <w:szCs w:val="32"/>
          <w:highlight w:val="none"/>
        </w:rPr>
      </w:pPr>
      <w:bookmarkStart w:id="28" w:name="_Toc7554_WPSOffice_Level1"/>
      <w:r>
        <w:rPr>
          <w:rFonts w:eastAsia="黑体"/>
          <w:color w:val="auto"/>
          <w:sz w:val="32"/>
          <w:szCs w:val="32"/>
          <w:highlight w:val="none"/>
        </w:rPr>
        <w:t>六、全力防范遏制重特大事故</w:t>
      </w:r>
      <w:bookmarkEnd w:id="28"/>
    </w:p>
    <w:p>
      <w:pPr>
        <w:spacing w:line="540" w:lineRule="exact"/>
        <w:ind w:firstLine="642" w:firstLineChars="200"/>
        <w:outlineLvl w:val="1"/>
        <w:rPr>
          <w:rFonts w:eastAsia="楷体_GB2312"/>
          <w:b/>
          <w:bCs/>
          <w:color w:val="auto"/>
          <w:sz w:val="32"/>
          <w:szCs w:val="32"/>
          <w:highlight w:val="none"/>
        </w:rPr>
      </w:pPr>
      <w:bookmarkStart w:id="29" w:name="_Toc11260_WPSOffice_Level2"/>
      <w:r>
        <w:rPr>
          <w:rFonts w:eastAsia="楷体_GB2312"/>
          <w:b/>
          <w:bCs/>
          <w:color w:val="auto"/>
          <w:sz w:val="32"/>
          <w:szCs w:val="32"/>
          <w:highlight w:val="none"/>
        </w:rPr>
        <w:t>（一）危险化学品安全</w:t>
      </w:r>
      <w:bookmarkEnd w:id="29"/>
    </w:p>
    <w:p>
      <w:pPr>
        <w:spacing w:line="560" w:lineRule="exact"/>
        <w:ind w:firstLine="640" w:firstLineChars="200"/>
        <w:rPr>
          <w:rFonts w:ascii="楷体_GB2312" w:eastAsia="楷体_GB2312"/>
          <w:color w:val="auto"/>
          <w:sz w:val="32"/>
          <w:szCs w:val="32"/>
          <w:highlight w:val="none"/>
        </w:rPr>
      </w:pPr>
      <w:r>
        <w:rPr>
          <w:rFonts w:eastAsia="仿宋_GB2312"/>
          <w:color w:val="auto"/>
          <w:sz w:val="32"/>
          <w:szCs w:val="32"/>
          <w:highlight w:val="none"/>
        </w:rPr>
        <w:t>严密防范已淘汰的落后产能异地落户、办厂进园。全面排查和管控危险化学品生产储存企业外部安全防护</w:t>
      </w:r>
      <w:r>
        <w:rPr>
          <w:rFonts w:hint="eastAsia" w:eastAsia="仿宋_GB2312"/>
          <w:color w:val="auto"/>
          <w:sz w:val="32"/>
          <w:szCs w:val="32"/>
          <w:highlight w:val="none"/>
        </w:rPr>
        <w:t>距离</w:t>
      </w:r>
      <w:r>
        <w:rPr>
          <w:rFonts w:eastAsia="仿宋_GB2312"/>
          <w:color w:val="auto"/>
          <w:sz w:val="32"/>
          <w:szCs w:val="32"/>
          <w:highlight w:val="none"/>
        </w:rPr>
        <w:t>。强化高危化学品和高危工艺风险管控，升级重大危险源风险监测预警系统。实施“互联网+危险化学品安全生产”工程，建设本质安全型化工园区，推动危险化学品安全数字化智能化转型。深化精细化工企业反应、油气储存场所安全评估。严格落实危险化学品登记鉴定制度。强化托运、承运、装卸、车辆运行等危险化学品运输全链条安全监管，统筹推进危险化学</w:t>
      </w:r>
      <w:r>
        <w:rPr>
          <w:rFonts w:hint="eastAsia" w:eastAsia="仿宋_GB2312"/>
          <w:color w:val="auto"/>
          <w:sz w:val="32"/>
          <w:szCs w:val="32"/>
          <w:highlight w:val="none"/>
        </w:rPr>
        <w:t>品</w:t>
      </w:r>
      <w:r>
        <w:rPr>
          <w:rFonts w:eastAsia="仿宋_GB2312"/>
          <w:color w:val="auto"/>
          <w:sz w:val="32"/>
          <w:szCs w:val="32"/>
          <w:highlight w:val="none"/>
        </w:rPr>
        <w:t>运输车辆专用停车场建设。加强使用危险化学品从事生产的企业及医院、学校、科研机构等单位的危险化学品使用安全管理。强化废弃危险化学</w:t>
      </w:r>
      <w:r>
        <w:rPr>
          <w:rFonts w:hint="eastAsia" w:eastAsia="仿宋_GB2312"/>
          <w:color w:val="auto"/>
          <w:sz w:val="32"/>
          <w:szCs w:val="32"/>
          <w:highlight w:val="none"/>
        </w:rPr>
        <w:t>品</w:t>
      </w:r>
      <w:r>
        <w:rPr>
          <w:rFonts w:eastAsia="仿宋_GB2312"/>
          <w:color w:val="auto"/>
          <w:sz w:val="32"/>
          <w:szCs w:val="32"/>
          <w:highlight w:val="none"/>
        </w:rPr>
        <w:t>等危险废物管理，建立部门联动、区城协作、重大案件会商督办制度，形成覆盖危险废物产生</w:t>
      </w:r>
      <w:r>
        <w:rPr>
          <w:rFonts w:hint="eastAsia" w:eastAsia="仿宋_GB2312"/>
          <w:color w:val="auto"/>
          <w:sz w:val="32"/>
          <w:szCs w:val="32"/>
          <w:highlight w:val="none"/>
        </w:rPr>
        <w:t>、</w:t>
      </w:r>
      <w:r>
        <w:rPr>
          <w:rFonts w:eastAsia="仿宋_GB2312"/>
          <w:color w:val="auto"/>
          <w:sz w:val="32"/>
          <w:szCs w:val="32"/>
          <w:highlight w:val="none"/>
        </w:rPr>
        <w:t>收集</w:t>
      </w:r>
      <w:r>
        <w:rPr>
          <w:rFonts w:hint="eastAsia" w:eastAsia="仿宋_GB2312"/>
          <w:color w:val="auto"/>
          <w:sz w:val="32"/>
          <w:szCs w:val="32"/>
          <w:highlight w:val="none"/>
        </w:rPr>
        <w:t>、</w:t>
      </w:r>
      <w:r>
        <w:rPr>
          <w:rFonts w:eastAsia="仿宋_GB2312"/>
          <w:color w:val="auto"/>
          <w:sz w:val="32"/>
          <w:szCs w:val="32"/>
          <w:highlight w:val="none"/>
        </w:rPr>
        <w:t>贮存、转移、运输、利用、处置等全过程的监管体系。完善油气输送管道、储运设施安全风险监测预警系统。完善油气输送管道地理信息系统，强化油气输送管道高后果区管控。加快建设统一的危险化学品产供储销全链条监管与服务平台，实现来源可循、去向可溯、全程监控。</w:t>
      </w:r>
      <w:r>
        <w:rPr>
          <w:rFonts w:hint="eastAsia" w:eastAsia="仿宋_GB2312"/>
          <w:color w:val="auto"/>
          <w:sz w:val="32"/>
          <w:szCs w:val="32"/>
          <w:highlight w:val="none"/>
          <w:lang w:eastAsia="zh-CN"/>
        </w:rPr>
        <w:t>配合做好</w:t>
      </w:r>
      <w:r>
        <w:rPr>
          <w:rFonts w:eastAsia="仿宋_GB2312"/>
          <w:color w:val="auto"/>
          <w:sz w:val="32"/>
          <w:szCs w:val="32"/>
          <w:highlight w:val="none"/>
        </w:rPr>
        <w:t>全</w:t>
      </w:r>
      <w:r>
        <w:rPr>
          <w:rFonts w:hint="eastAsia" w:eastAsia="仿宋_GB2312"/>
          <w:color w:val="auto"/>
          <w:sz w:val="32"/>
          <w:szCs w:val="32"/>
          <w:highlight w:val="none"/>
        </w:rPr>
        <w:t>省</w:t>
      </w:r>
      <w:r>
        <w:rPr>
          <w:rFonts w:eastAsia="仿宋_GB2312"/>
          <w:color w:val="auto"/>
          <w:sz w:val="32"/>
          <w:szCs w:val="32"/>
          <w:highlight w:val="none"/>
        </w:rPr>
        <w:t>烟花爆竹经营企业安全监管信息系统</w:t>
      </w:r>
      <w:r>
        <w:rPr>
          <w:rFonts w:hint="eastAsia" w:eastAsia="仿宋_GB2312"/>
          <w:color w:val="auto"/>
          <w:sz w:val="32"/>
          <w:szCs w:val="32"/>
          <w:highlight w:val="none"/>
          <w:lang w:eastAsia="zh-CN"/>
        </w:rPr>
        <w:t>建设</w:t>
      </w:r>
      <w:r>
        <w:rPr>
          <w:rFonts w:eastAsia="仿宋_GB2312"/>
          <w:color w:val="auto"/>
          <w:sz w:val="32"/>
          <w:szCs w:val="32"/>
          <w:highlight w:val="none"/>
        </w:rPr>
        <w:t>，</w:t>
      </w:r>
      <w:r>
        <w:rPr>
          <w:rFonts w:eastAsia="仿宋_GB2312"/>
          <w:color w:val="auto"/>
          <w:sz w:val="32"/>
          <w:szCs w:val="32"/>
          <w:highlight w:val="none"/>
        </w:rPr>
        <w:t>推进烟花爆竹安全监管信息协同共享。</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市应急管理局监管科</w:t>
      </w:r>
      <w:r>
        <w:rPr>
          <w:rFonts w:hint="eastAsia" w:ascii="楷体_GB2312" w:eastAsia="楷体_GB2312"/>
          <w:color w:val="auto"/>
          <w:sz w:val="32"/>
          <w:szCs w:val="32"/>
          <w:highlight w:val="none"/>
        </w:rPr>
        <w:t>牵头完善）</w:t>
      </w:r>
    </w:p>
    <w:p>
      <w:pPr>
        <w:spacing w:line="560" w:lineRule="exact"/>
        <w:ind w:firstLine="642" w:firstLineChars="200"/>
        <w:outlineLvl w:val="1"/>
        <w:rPr>
          <w:rFonts w:eastAsia="楷体_GB2312"/>
          <w:b/>
          <w:bCs/>
          <w:color w:val="auto"/>
          <w:sz w:val="32"/>
          <w:szCs w:val="32"/>
          <w:highlight w:val="none"/>
        </w:rPr>
      </w:pPr>
      <w:bookmarkStart w:id="30" w:name="_Toc814_WPSOffice_Level2"/>
      <w:r>
        <w:rPr>
          <w:rFonts w:eastAsia="楷体_GB2312"/>
          <w:b/>
          <w:bCs/>
          <w:color w:val="auto"/>
          <w:sz w:val="32"/>
          <w:szCs w:val="32"/>
          <w:highlight w:val="none"/>
        </w:rPr>
        <w:t>（二）煤矿安全</w:t>
      </w:r>
      <w:bookmarkEnd w:id="30"/>
    </w:p>
    <w:p>
      <w:pPr>
        <w:spacing w:line="560" w:lineRule="exact"/>
        <w:ind w:firstLine="640" w:firstLineChars="200"/>
        <w:rPr>
          <w:rFonts w:ascii="楷体_GB2312" w:eastAsia="楷体_GB2312"/>
          <w:color w:val="auto"/>
          <w:sz w:val="32"/>
          <w:szCs w:val="32"/>
          <w:highlight w:val="none"/>
        </w:rPr>
      </w:pPr>
      <w:r>
        <w:rPr>
          <w:rFonts w:eastAsia="仿宋_GB2312"/>
          <w:color w:val="auto"/>
          <w:sz w:val="32"/>
          <w:szCs w:val="32"/>
          <w:highlight w:val="none"/>
        </w:rPr>
        <w:t>实施冲击地压、煤与瓦斯突出和水害等煤矿重大灾害超前精准治理，推进实施一批煤矿重大灾害治理工程。严格落实煤矿“一优三减”措施。推进煤矿智能化建设，建设一批智能化煤矿。持续推进冲击地压</w:t>
      </w:r>
      <w:r>
        <w:rPr>
          <w:rFonts w:hint="eastAsia" w:eastAsia="仿宋_GB2312"/>
          <w:color w:val="auto"/>
          <w:sz w:val="32"/>
          <w:szCs w:val="32"/>
          <w:highlight w:val="none"/>
        </w:rPr>
        <w:t>、</w:t>
      </w:r>
      <w:r>
        <w:rPr>
          <w:rFonts w:eastAsia="仿宋_GB2312"/>
          <w:color w:val="auto"/>
          <w:sz w:val="32"/>
          <w:szCs w:val="32"/>
          <w:highlight w:val="none"/>
        </w:rPr>
        <w:t>煤与瓦斯突出、水文地质类型极复杂等灾害严重煤矿淘汰</w:t>
      </w:r>
      <w:r>
        <w:rPr>
          <w:rFonts w:hint="eastAsia" w:eastAsia="仿宋_GB2312"/>
          <w:color w:val="auto"/>
          <w:sz w:val="32"/>
          <w:szCs w:val="32"/>
          <w:highlight w:val="none"/>
        </w:rPr>
        <w:t>退出</w:t>
      </w:r>
      <w:r>
        <w:rPr>
          <w:rFonts w:eastAsia="仿宋_GB2312"/>
          <w:color w:val="auto"/>
          <w:sz w:val="32"/>
          <w:szCs w:val="32"/>
          <w:highlight w:val="none"/>
        </w:rPr>
        <w:t>。严控新改扩建煤矿规模。加强整合技改扩能煤矿安全监管。推进煤炭清洁利用和重点地区减量替代，优化油气长输管道规划布局和管控方案。</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市发展改革委</w:t>
      </w:r>
      <w:r>
        <w:rPr>
          <w:rFonts w:hint="eastAsia" w:ascii="楷体_GB2312" w:eastAsia="楷体_GB2312"/>
          <w:color w:val="auto"/>
          <w:sz w:val="32"/>
          <w:szCs w:val="32"/>
          <w:highlight w:val="none"/>
        </w:rPr>
        <w:t>牵头完善）</w:t>
      </w:r>
    </w:p>
    <w:p>
      <w:pPr>
        <w:spacing w:line="580" w:lineRule="exact"/>
        <w:ind w:firstLine="642" w:firstLineChars="200"/>
        <w:rPr>
          <w:rFonts w:eastAsia="楷体_GB2312"/>
          <w:b/>
          <w:bCs/>
          <w:color w:val="auto"/>
          <w:sz w:val="32"/>
          <w:szCs w:val="32"/>
          <w:highlight w:val="none"/>
        </w:rPr>
      </w:pPr>
      <w:bookmarkStart w:id="31" w:name="_Toc13349_WPSOffice_Level2"/>
      <w:r>
        <w:rPr>
          <w:rFonts w:eastAsia="楷体_GB2312"/>
          <w:b/>
          <w:bCs/>
          <w:color w:val="auto"/>
          <w:sz w:val="32"/>
          <w:szCs w:val="32"/>
          <w:highlight w:val="none"/>
        </w:rPr>
        <w:t>（三）</w:t>
      </w:r>
      <w:bookmarkEnd w:id="31"/>
      <w:bookmarkStart w:id="32" w:name="_Toc22408_WPSOffice_Level2"/>
      <w:r>
        <w:rPr>
          <w:rFonts w:eastAsia="楷体_GB2312"/>
          <w:b/>
          <w:bCs/>
          <w:color w:val="auto"/>
          <w:sz w:val="32"/>
          <w:szCs w:val="32"/>
          <w:highlight w:val="none"/>
        </w:rPr>
        <w:t>消防安全</w:t>
      </w:r>
      <w:bookmarkEnd w:id="32"/>
    </w:p>
    <w:p>
      <w:pPr>
        <w:spacing w:line="560" w:lineRule="exact"/>
        <w:ind w:firstLine="640" w:firstLineChars="200"/>
        <w:rPr>
          <w:rFonts w:ascii="楷体_GB2312" w:eastAsia="楷体_GB2312"/>
          <w:color w:val="auto"/>
          <w:sz w:val="32"/>
          <w:szCs w:val="32"/>
          <w:highlight w:val="none"/>
        </w:rPr>
      </w:pPr>
      <w:r>
        <w:rPr>
          <w:rFonts w:hint="eastAsia" w:eastAsia="仿宋_GB2312"/>
          <w:color w:val="auto"/>
          <w:sz w:val="32"/>
          <w:szCs w:val="32"/>
          <w:highlight w:val="none"/>
        </w:rPr>
        <w:t>强化消防安全源头管控，建立常态化火灾隐患排查整治机制。聚焦老旧小区、电动车充电设施、外墙保温材料、彩钢板建筑、家庭加工作坊、“三合一”场所、城乡接合部、物流仓储等突出风险以及乡村火灾，分阶段开展集中排查整治，</w:t>
      </w:r>
      <w:r>
        <w:rPr>
          <w:rFonts w:hint="eastAsia" w:eastAsia="仿宋_GB2312"/>
          <w:color w:val="auto"/>
          <w:sz w:val="32"/>
          <w:szCs w:val="32"/>
          <w:highlight w:val="none"/>
          <w:lang w:eastAsia="zh-CN"/>
        </w:rPr>
        <w:t>尤其要</w:t>
      </w:r>
      <w:r>
        <w:rPr>
          <w:rFonts w:eastAsia="仿宋_GB2312"/>
          <w:color w:val="auto"/>
          <w:sz w:val="32"/>
          <w:szCs w:val="32"/>
          <w:highlight w:val="none"/>
        </w:rPr>
        <w:t>加强乡村火灾隐患整治，强化对乡镇工业园、特色小镇等乡村新兴产业消防安全管理</w:t>
      </w:r>
      <w:r>
        <w:rPr>
          <w:rFonts w:hint="eastAsia" w:eastAsia="仿宋_GB2312"/>
          <w:color w:val="auto"/>
          <w:sz w:val="32"/>
          <w:szCs w:val="32"/>
          <w:highlight w:val="none"/>
        </w:rPr>
        <w:t>，</w:t>
      </w:r>
      <w:r>
        <w:rPr>
          <w:rFonts w:eastAsia="仿宋_GB2312"/>
          <w:color w:val="auto"/>
          <w:sz w:val="32"/>
          <w:szCs w:val="32"/>
          <w:highlight w:val="none"/>
        </w:rPr>
        <w:t>推进乡镇农村公共消防基础建设</w:t>
      </w:r>
      <w:r>
        <w:rPr>
          <w:rFonts w:hint="eastAsia" w:eastAsia="仿宋_GB2312"/>
          <w:color w:val="auto"/>
          <w:sz w:val="32"/>
          <w:szCs w:val="32"/>
          <w:highlight w:val="none"/>
        </w:rPr>
        <w:t>。</w:t>
      </w:r>
      <w:r>
        <w:rPr>
          <w:rFonts w:eastAsia="仿宋_GB2312"/>
          <w:color w:val="auto"/>
          <w:sz w:val="32"/>
          <w:szCs w:val="32"/>
          <w:highlight w:val="none"/>
        </w:rPr>
        <w:t>实施打通消防“生命通道”工程，实行“一城一策、一区一策” 消防车通道治理。集中开展高层建筑、大型商业综合体、石油化工等四类重点场所消防安全治理。推动各地每年将老旧场所消防风险治理列入实事工程、民生工程，落实差异化风险管控措施。健全电动汽车、电动自行车等新材料新设备新业态火灾风险预估预判机制，优化落实本质安全措施。推进学校及幼儿园、养老服务、娱乐场所、宾馆酒店、商场市场、旅游景区、医疗卫生、宗教场所、文物建筑和博物馆等行业单位消防安全标准化管理。推动建立基层消防网格化信息管理平台，建设消防物联网监控系统和城市消防大数据库。统筹水上消防能力建设。完善政府年度消防工作考核、消防安全重大问题问责，火灾事故调查评估制度。全面推行单位风险隐患自知自查自改和公示承诺</w:t>
      </w:r>
      <w:r>
        <w:rPr>
          <w:rFonts w:hint="eastAsia" w:eastAsia="仿宋_GB2312"/>
          <w:color w:val="auto"/>
          <w:sz w:val="32"/>
          <w:szCs w:val="32"/>
          <w:highlight w:val="none"/>
        </w:rPr>
        <w:t>、</w:t>
      </w:r>
      <w:r>
        <w:rPr>
          <w:rFonts w:eastAsia="仿宋_GB2312"/>
          <w:color w:val="auto"/>
          <w:sz w:val="32"/>
          <w:szCs w:val="32"/>
          <w:highlight w:val="none"/>
        </w:rPr>
        <w:t>风险申报制度。</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市消防救援支队</w:t>
      </w:r>
      <w:r>
        <w:rPr>
          <w:rFonts w:hint="eastAsia" w:ascii="楷体_GB2312" w:eastAsia="楷体_GB2312"/>
          <w:color w:val="auto"/>
          <w:sz w:val="32"/>
          <w:szCs w:val="32"/>
          <w:highlight w:val="none"/>
        </w:rPr>
        <w:t>牵头完善）</w:t>
      </w:r>
    </w:p>
    <w:p>
      <w:pPr>
        <w:spacing w:line="560" w:lineRule="exact"/>
        <w:ind w:firstLine="642" w:firstLineChars="200"/>
        <w:outlineLvl w:val="1"/>
        <w:rPr>
          <w:rFonts w:eastAsia="楷体_GB2312"/>
          <w:b/>
          <w:bCs/>
          <w:color w:val="auto"/>
          <w:sz w:val="32"/>
          <w:szCs w:val="32"/>
          <w:highlight w:val="none"/>
        </w:rPr>
      </w:pPr>
      <w:bookmarkStart w:id="33" w:name="_Toc31929_WPSOffice_Level2"/>
      <w:r>
        <w:rPr>
          <w:rFonts w:eastAsia="楷体_GB2312"/>
          <w:b/>
          <w:bCs/>
          <w:color w:val="auto"/>
          <w:sz w:val="32"/>
          <w:szCs w:val="32"/>
          <w:highlight w:val="none"/>
        </w:rPr>
        <w:t>（</w:t>
      </w:r>
      <w:r>
        <w:rPr>
          <w:rFonts w:hint="eastAsia" w:eastAsia="楷体_GB2312"/>
          <w:b/>
          <w:bCs/>
          <w:color w:val="auto"/>
          <w:sz w:val="32"/>
          <w:szCs w:val="32"/>
          <w:highlight w:val="none"/>
          <w:lang w:eastAsia="zh-CN"/>
        </w:rPr>
        <w:t>四</w:t>
      </w:r>
      <w:r>
        <w:rPr>
          <w:rFonts w:eastAsia="楷体_GB2312"/>
          <w:b/>
          <w:bCs/>
          <w:color w:val="auto"/>
          <w:sz w:val="32"/>
          <w:szCs w:val="32"/>
          <w:highlight w:val="none"/>
        </w:rPr>
        <w:t>）道路交通安全</w:t>
      </w:r>
      <w:bookmarkEnd w:id="33"/>
    </w:p>
    <w:p>
      <w:pPr>
        <w:spacing w:line="560" w:lineRule="exact"/>
        <w:ind w:firstLine="640" w:firstLineChars="200"/>
        <w:rPr>
          <w:rFonts w:eastAsia="仿宋_GB2312"/>
          <w:color w:val="auto"/>
          <w:sz w:val="32"/>
          <w:szCs w:val="32"/>
          <w:highlight w:val="none"/>
        </w:rPr>
      </w:pPr>
      <w:r>
        <w:rPr>
          <w:rFonts w:eastAsia="仿宋_GB2312"/>
          <w:color w:val="auto"/>
          <w:sz w:val="32"/>
          <w:szCs w:val="32"/>
          <w:highlight w:val="none"/>
        </w:rPr>
        <w:t>加强客货车产品生产准入</w:t>
      </w:r>
      <w:r>
        <w:rPr>
          <w:rFonts w:hint="eastAsia" w:eastAsia="仿宋_GB2312"/>
          <w:color w:val="auto"/>
          <w:sz w:val="32"/>
          <w:szCs w:val="32"/>
          <w:highlight w:val="none"/>
        </w:rPr>
        <w:t>、</w:t>
      </w:r>
      <w:r>
        <w:rPr>
          <w:rFonts w:eastAsia="仿宋_GB2312"/>
          <w:color w:val="auto"/>
          <w:sz w:val="32"/>
          <w:szCs w:val="32"/>
          <w:highlight w:val="none"/>
        </w:rPr>
        <w:t>一致性监管。逐步提高客货车技术标准，督促生产企业改进车辆安全设计。加快淘汰隐患问题车辆。建立健全道路运输企业、道路运输车辆和驾驶员信息共享机制。严格落实典型和严重道路交通事故深度调查制度</w:t>
      </w:r>
      <w:r>
        <w:rPr>
          <w:rFonts w:hint="eastAsia" w:eastAsia="仿宋_GB2312"/>
          <w:color w:val="auto"/>
          <w:sz w:val="32"/>
          <w:szCs w:val="32"/>
          <w:highlight w:val="none"/>
        </w:rPr>
        <w:t>，</w:t>
      </w:r>
      <w:r>
        <w:rPr>
          <w:rFonts w:eastAsia="仿宋_GB2312"/>
          <w:color w:val="auto"/>
          <w:sz w:val="32"/>
          <w:szCs w:val="32"/>
          <w:highlight w:val="none"/>
        </w:rPr>
        <w:t>倒查道路交通安全各相关环节存在的问题</w:t>
      </w:r>
      <w:r>
        <w:rPr>
          <w:rFonts w:hint="eastAsia" w:eastAsia="仿宋_GB2312"/>
          <w:color w:val="auto"/>
          <w:sz w:val="32"/>
          <w:szCs w:val="32"/>
          <w:highlight w:val="none"/>
        </w:rPr>
        <w:t>漏洞</w:t>
      </w:r>
      <w:r>
        <w:rPr>
          <w:rFonts w:eastAsia="仿宋_GB2312"/>
          <w:color w:val="auto"/>
          <w:sz w:val="32"/>
          <w:szCs w:val="32"/>
          <w:highlight w:val="none"/>
        </w:rPr>
        <w:t>。加强交通运输新业态管理服务，加大对新能源公交车、新能源出租车运营安全性的监督管理力度，强化长途客运班车和省际包车、危险货物运输和城市公共交通企业安全监管，综合应用各类监控数据，依法严厉查处超速</w:t>
      </w:r>
      <w:r>
        <w:rPr>
          <w:rFonts w:hint="eastAsia" w:eastAsia="仿宋_GB2312"/>
          <w:color w:val="auto"/>
          <w:sz w:val="32"/>
          <w:szCs w:val="32"/>
          <w:highlight w:val="none"/>
        </w:rPr>
        <w:t>、</w:t>
      </w:r>
      <w:r>
        <w:rPr>
          <w:rFonts w:eastAsia="仿宋_GB2312"/>
          <w:color w:val="auto"/>
          <w:sz w:val="32"/>
          <w:szCs w:val="32"/>
          <w:highlight w:val="none"/>
        </w:rPr>
        <w:t>超员、疲劳驾驶等违法行为。深化货车非法</w:t>
      </w:r>
      <w:r>
        <w:rPr>
          <w:rFonts w:hint="eastAsia" w:eastAsia="仿宋_GB2312"/>
          <w:color w:val="auto"/>
          <w:sz w:val="32"/>
          <w:szCs w:val="32"/>
          <w:highlight w:val="none"/>
        </w:rPr>
        <w:t>改装</w:t>
      </w:r>
      <w:r>
        <w:rPr>
          <w:rFonts w:hint="eastAsia" w:ascii="仿宋_GB2312" w:hAnsi="仿宋_GB2312" w:eastAsia="仿宋_GB2312" w:cs="仿宋_GB2312"/>
          <w:color w:val="auto"/>
          <w:sz w:val="32"/>
          <w:szCs w:val="32"/>
          <w:highlight w:val="none"/>
        </w:rPr>
        <w:t>、车辆挂靠专项整治，健全货车非法改装联合监管工作机制，将车辆超限超载治理纳入地方政府安全生产考核，严厉打击</w:t>
      </w:r>
      <w:r>
        <w:rPr>
          <w:rFonts w:eastAsia="仿宋_GB2312"/>
          <w:color w:val="auto"/>
          <w:sz w:val="32"/>
          <w:szCs w:val="32"/>
          <w:highlight w:val="none"/>
        </w:rPr>
        <w:t>“大吨小标”“百吨王”、倒卖合格证等违法违规行为。构建适应新形势的农村出行运输服务体系，鼓励农村客运车辆安装使用卫星定位装置和视频监控装置。建立自动驾驶汽车运行数据监管平台，强化运行过程监管。加快高速公路护栏提质改造。</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市交通运输局</w:t>
      </w:r>
      <w:r>
        <w:rPr>
          <w:rFonts w:hint="eastAsia" w:ascii="楷体_GB2312" w:eastAsia="楷体_GB2312"/>
          <w:color w:val="auto"/>
          <w:sz w:val="32"/>
          <w:szCs w:val="32"/>
          <w:highlight w:val="none"/>
        </w:rPr>
        <w:t>牵头完善）</w:t>
      </w:r>
    </w:p>
    <w:p>
      <w:pPr>
        <w:spacing w:line="560" w:lineRule="exact"/>
        <w:ind w:firstLine="642" w:firstLineChars="200"/>
        <w:outlineLvl w:val="1"/>
        <w:rPr>
          <w:rFonts w:eastAsia="楷体_GB2312"/>
          <w:b/>
          <w:bCs/>
          <w:color w:val="auto"/>
          <w:sz w:val="32"/>
          <w:szCs w:val="32"/>
          <w:highlight w:val="none"/>
        </w:rPr>
      </w:pPr>
      <w:bookmarkStart w:id="34" w:name="_Toc2180_WPSOffice_Level2"/>
      <w:r>
        <w:rPr>
          <w:rFonts w:eastAsia="楷体_GB2312"/>
          <w:b/>
          <w:bCs/>
          <w:color w:val="auto"/>
          <w:sz w:val="32"/>
          <w:szCs w:val="32"/>
          <w:highlight w:val="none"/>
        </w:rPr>
        <w:t>（</w:t>
      </w:r>
      <w:r>
        <w:rPr>
          <w:rFonts w:hint="eastAsia" w:eastAsia="楷体_GB2312"/>
          <w:b/>
          <w:bCs/>
          <w:color w:val="auto"/>
          <w:sz w:val="32"/>
          <w:szCs w:val="32"/>
          <w:highlight w:val="none"/>
          <w:lang w:eastAsia="zh-CN"/>
        </w:rPr>
        <w:t>五</w:t>
      </w:r>
      <w:r>
        <w:rPr>
          <w:rFonts w:eastAsia="楷体_GB2312"/>
          <w:b/>
          <w:bCs/>
          <w:color w:val="auto"/>
          <w:sz w:val="32"/>
          <w:szCs w:val="32"/>
          <w:highlight w:val="none"/>
        </w:rPr>
        <w:t>）交通运输安全（除道路交通安全外）</w:t>
      </w:r>
      <w:bookmarkEnd w:id="34"/>
    </w:p>
    <w:p>
      <w:pPr>
        <w:spacing w:line="560" w:lineRule="exact"/>
        <w:ind w:firstLine="640" w:firstLineChars="200"/>
        <w:rPr>
          <w:rFonts w:eastAsia="仿宋_GB2312"/>
          <w:color w:val="auto"/>
          <w:sz w:val="32"/>
          <w:szCs w:val="32"/>
          <w:highlight w:val="none"/>
        </w:rPr>
      </w:pPr>
      <w:r>
        <w:rPr>
          <w:rFonts w:eastAsia="仿宋_GB2312"/>
          <w:color w:val="auto"/>
          <w:sz w:val="32"/>
          <w:szCs w:val="32"/>
          <w:highlight w:val="none"/>
        </w:rPr>
        <w:t>全面划定铁路线路安全保护区，实施铁路沿线安全环境治理及道口“平改立</w:t>
      </w:r>
      <w:r>
        <w:rPr>
          <w:rFonts w:hint="eastAsia" w:eastAsia="仿宋_GB2312"/>
          <w:color w:val="auto"/>
          <w:sz w:val="32"/>
          <w:szCs w:val="32"/>
          <w:highlight w:val="none"/>
        </w:rPr>
        <w:t>”</w:t>
      </w:r>
      <w:r>
        <w:rPr>
          <w:rFonts w:eastAsia="仿宋_GB2312"/>
          <w:color w:val="auto"/>
          <w:sz w:val="32"/>
          <w:szCs w:val="32"/>
          <w:highlight w:val="none"/>
        </w:rPr>
        <w:t>强化公铁水并行交汇地段安全综合治理。严格执行客船恶劣天气条件下禁限航规定，推进巡航救助一体化船艇和海事监管、航海保障装备设施、船舶溢油应急设备库建设，强化“四类重点船舶</w:t>
      </w:r>
      <w:r>
        <w:rPr>
          <w:rFonts w:hint="eastAsia" w:eastAsia="仿宋_GB2312"/>
          <w:color w:val="auto"/>
          <w:sz w:val="32"/>
          <w:szCs w:val="32"/>
          <w:highlight w:val="none"/>
        </w:rPr>
        <w:t>”</w:t>
      </w:r>
      <w:r>
        <w:rPr>
          <w:rFonts w:eastAsia="仿宋_GB2312"/>
          <w:color w:val="auto"/>
          <w:sz w:val="32"/>
          <w:szCs w:val="32"/>
          <w:highlight w:val="none"/>
        </w:rPr>
        <w:t>和“六区一线”重点水域安全监管。强化寄递企业安全生产基础能力建设，完善实名收寄、收寄验视、过机安检“三位一体”安全防控模式，推动邮件快件作业场所安全管理规范化。完善城市轨道交通建设工程安全评价制度，健全城市交通运营安全风险分</w:t>
      </w:r>
      <w:r>
        <w:rPr>
          <w:rFonts w:hint="eastAsia" w:ascii="宋体" w:hAnsi="宋体" w:eastAsia="仿宋_GB2312" w:cs="宋体"/>
          <w:color w:val="auto"/>
          <w:sz w:val="32"/>
          <w:szCs w:val="32"/>
          <w:highlight w:val="none"/>
          <w:lang w:eastAsia="zh-CN"/>
        </w:rPr>
        <w:t>级</w:t>
      </w:r>
      <w:r>
        <w:rPr>
          <w:rFonts w:hint="eastAsia" w:ascii="仿宋_GB2312" w:hAnsi="仿宋_GB2312" w:eastAsia="仿宋_GB2312" w:cs="仿宋_GB2312"/>
          <w:color w:val="auto"/>
          <w:sz w:val="32"/>
          <w:szCs w:val="32"/>
          <w:highlight w:val="none"/>
        </w:rPr>
        <w:t>管控和隐</w:t>
      </w:r>
      <w:r>
        <w:rPr>
          <w:rFonts w:hint="eastAsia" w:ascii="仿宋_GB2312" w:hAnsi="仿宋_GB2312" w:eastAsia="仿宋_GB2312" w:cs="仿宋_GB2312"/>
          <w:color w:val="auto"/>
          <w:sz w:val="32"/>
          <w:szCs w:val="32"/>
          <w:highlight w:val="none"/>
          <w:lang w:eastAsia="zh-CN"/>
        </w:rPr>
        <w:t>患</w:t>
      </w:r>
      <w:r>
        <w:rPr>
          <w:rFonts w:hint="eastAsia" w:ascii="仿宋_GB2312" w:hAnsi="仿宋_GB2312" w:eastAsia="仿宋_GB2312" w:cs="仿宋_GB2312"/>
          <w:color w:val="auto"/>
          <w:sz w:val="32"/>
          <w:szCs w:val="32"/>
          <w:highlight w:val="none"/>
        </w:rPr>
        <w:t>排查治理制度，强化运营安全风险管控</w:t>
      </w:r>
      <w:r>
        <w:rPr>
          <w:rFonts w:eastAsia="仿宋_GB2312"/>
          <w:color w:val="auto"/>
          <w:sz w:val="32"/>
          <w:szCs w:val="32"/>
          <w:highlight w:val="none"/>
        </w:rPr>
        <w:t>。</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市交通运输局</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市委政法委</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市邮政管理局</w:t>
      </w:r>
      <w:r>
        <w:rPr>
          <w:rFonts w:hint="eastAsia" w:ascii="楷体_GB2312" w:eastAsia="楷体_GB2312"/>
          <w:color w:val="auto"/>
          <w:sz w:val="32"/>
          <w:szCs w:val="32"/>
          <w:highlight w:val="none"/>
        </w:rPr>
        <w:t>依据职责分工完善）</w:t>
      </w:r>
    </w:p>
    <w:p>
      <w:pPr>
        <w:spacing w:line="560" w:lineRule="exact"/>
        <w:ind w:firstLine="642" w:firstLineChars="200"/>
        <w:outlineLvl w:val="1"/>
        <w:rPr>
          <w:rFonts w:eastAsia="楷体_GB2312"/>
          <w:b/>
          <w:bCs/>
          <w:color w:val="auto"/>
          <w:sz w:val="32"/>
          <w:szCs w:val="32"/>
          <w:highlight w:val="none"/>
        </w:rPr>
      </w:pPr>
      <w:bookmarkStart w:id="35" w:name="_Toc14013_WPSOffice_Level2"/>
      <w:r>
        <w:rPr>
          <w:rFonts w:eastAsia="楷体_GB2312"/>
          <w:b/>
          <w:bCs/>
          <w:color w:val="auto"/>
          <w:sz w:val="32"/>
          <w:szCs w:val="32"/>
          <w:highlight w:val="none"/>
        </w:rPr>
        <w:t>（</w:t>
      </w:r>
      <w:r>
        <w:rPr>
          <w:rFonts w:hint="eastAsia" w:eastAsia="楷体_GB2312"/>
          <w:b/>
          <w:bCs/>
          <w:color w:val="auto"/>
          <w:sz w:val="32"/>
          <w:szCs w:val="32"/>
          <w:highlight w:val="none"/>
          <w:lang w:eastAsia="zh-CN"/>
        </w:rPr>
        <w:t>六</w:t>
      </w:r>
      <w:r>
        <w:rPr>
          <w:rFonts w:eastAsia="楷体_GB2312"/>
          <w:b/>
          <w:bCs/>
          <w:color w:val="auto"/>
          <w:sz w:val="32"/>
          <w:szCs w:val="32"/>
          <w:highlight w:val="none"/>
        </w:rPr>
        <w:t>）工贸安全</w:t>
      </w:r>
      <w:bookmarkEnd w:id="35"/>
    </w:p>
    <w:p>
      <w:pPr>
        <w:spacing w:line="560" w:lineRule="exact"/>
        <w:ind w:firstLine="640" w:firstLineChars="200"/>
        <w:rPr>
          <w:rFonts w:eastAsia="仿宋_GB2312"/>
          <w:color w:val="auto"/>
          <w:sz w:val="32"/>
          <w:szCs w:val="32"/>
          <w:highlight w:val="none"/>
        </w:rPr>
      </w:pPr>
      <w:r>
        <w:rPr>
          <w:rFonts w:hint="eastAsia" w:eastAsia="仿宋_GB2312"/>
          <w:color w:val="auto"/>
          <w:sz w:val="32"/>
          <w:szCs w:val="32"/>
          <w:highlight w:val="none"/>
        </w:rPr>
        <w:t>鼓励企业采取设备升级改造、自动化控制、连锁、机械防护和能量隔离等措施提升本质安全条件，</w:t>
      </w:r>
      <w:r>
        <w:rPr>
          <w:rFonts w:eastAsia="仿宋_GB2312"/>
          <w:color w:val="auto"/>
          <w:sz w:val="32"/>
          <w:szCs w:val="32"/>
          <w:highlight w:val="none"/>
        </w:rPr>
        <w:t>以粉尘沙爆、</w:t>
      </w:r>
      <w:r>
        <w:rPr>
          <w:rFonts w:hint="eastAsia" w:eastAsia="仿宋_GB2312"/>
          <w:color w:val="auto"/>
          <w:sz w:val="32"/>
          <w:szCs w:val="32"/>
          <w:highlight w:val="none"/>
          <w:lang w:eastAsia="zh-CN"/>
        </w:rPr>
        <w:t>涉氨制冷</w:t>
      </w:r>
      <w:r>
        <w:rPr>
          <w:rFonts w:hint="eastAsia" w:eastAsia="仿宋_GB2312"/>
          <w:color w:val="auto"/>
          <w:sz w:val="32"/>
          <w:szCs w:val="32"/>
          <w:highlight w:val="none"/>
        </w:rPr>
        <w:t>、</w:t>
      </w:r>
      <w:r>
        <w:rPr>
          <w:rFonts w:eastAsia="仿宋_GB2312"/>
          <w:color w:val="auto"/>
          <w:sz w:val="32"/>
          <w:szCs w:val="32"/>
          <w:highlight w:val="none"/>
        </w:rPr>
        <w:t>有限空间作业为重点，强化事故隐患排查治理，深化工贸行业安全专项整治。推广应用粉尘涉爆</w:t>
      </w:r>
      <w:r>
        <w:rPr>
          <w:rFonts w:hint="eastAsia" w:eastAsia="仿宋_GB2312"/>
          <w:color w:val="auto"/>
          <w:sz w:val="32"/>
          <w:szCs w:val="32"/>
          <w:highlight w:val="none"/>
        </w:rPr>
        <w:t>领域</w:t>
      </w:r>
      <w:r>
        <w:rPr>
          <w:rFonts w:eastAsia="仿宋_GB2312"/>
          <w:color w:val="auto"/>
          <w:sz w:val="32"/>
          <w:szCs w:val="32"/>
          <w:highlight w:val="none"/>
        </w:rPr>
        <w:t>湿法除尘工艺、</w:t>
      </w:r>
      <w:r>
        <w:rPr>
          <w:rFonts w:hint="eastAsia" w:eastAsia="仿宋_GB2312"/>
          <w:color w:val="auto"/>
          <w:sz w:val="32"/>
          <w:szCs w:val="32"/>
          <w:highlight w:val="none"/>
          <w:lang w:eastAsia="zh-CN"/>
        </w:rPr>
        <w:t>涉氨制冷</w:t>
      </w:r>
      <w:r>
        <w:rPr>
          <w:rFonts w:eastAsia="仿宋_GB2312"/>
          <w:color w:val="auto"/>
          <w:sz w:val="32"/>
          <w:szCs w:val="32"/>
          <w:highlight w:val="none"/>
        </w:rPr>
        <w:t>自动化监测报警和联锁装置等先进技术装备。加快实施建材行业搬</w:t>
      </w:r>
      <w:r>
        <w:rPr>
          <w:rFonts w:eastAsia="仿宋_GB2312"/>
          <w:color w:val="auto"/>
          <w:sz w:val="32"/>
          <w:szCs w:val="32"/>
          <w:highlight w:val="none"/>
        </w:rPr>
        <w:t>运码垛、投料装车、抛光施</w:t>
      </w:r>
      <w:r>
        <w:rPr>
          <w:rFonts w:hint="eastAsia" w:eastAsia="仿宋_GB2312"/>
          <w:color w:val="auto"/>
          <w:sz w:val="32"/>
          <w:szCs w:val="32"/>
          <w:highlight w:val="none"/>
        </w:rPr>
        <w:t>釉、</w:t>
      </w:r>
      <w:r>
        <w:rPr>
          <w:rFonts w:eastAsia="仿宋_GB2312"/>
          <w:color w:val="auto"/>
          <w:sz w:val="32"/>
          <w:szCs w:val="32"/>
          <w:highlight w:val="none"/>
        </w:rPr>
        <w:t>喷漆打磨、</w:t>
      </w:r>
      <w:r>
        <w:rPr>
          <w:rFonts w:hint="eastAsia" w:ascii="仿宋_GB2312" w:hAnsi="仿宋_GB2312" w:eastAsia="仿宋_GB2312" w:cs="仿宋_GB2312"/>
          <w:color w:val="auto"/>
          <w:sz w:val="32"/>
          <w:szCs w:val="32"/>
          <w:highlight w:val="none"/>
        </w:rPr>
        <w:t>切割分拣、压力成型</w:t>
      </w:r>
      <w:r>
        <w:rPr>
          <w:rFonts w:eastAsia="仿宋_GB2312"/>
          <w:color w:val="auto"/>
          <w:sz w:val="32"/>
          <w:szCs w:val="32"/>
          <w:highlight w:val="none"/>
        </w:rPr>
        <w:t>等安全风险较高的岗位“机器换人”。加强对商场、超市、批发市场、餐饮等人员和货物密集场所的安全隐患排查，严格大型群众性活动报批程序，严防群死群伤事故。</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市应急局监管科</w:t>
      </w:r>
      <w:r>
        <w:rPr>
          <w:rFonts w:hint="eastAsia" w:ascii="楷体_GB2312" w:eastAsia="楷体_GB2312"/>
          <w:color w:val="auto"/>
          <w:sz w:val="32"/>
          <w:szCs w:val="32"/>
          <w:highlight w:val="none"/>
        </w:rPr>
        <w:t>牵头完善）</w:t>
      </w:r>
    </w:p>
    <w:p>
      <w:pPr>
        <w:spacing w:line="560" w:lineRule="exact"/>
        <w:ind w:firstLine="642" w:firstLineChars="200"/>
        <w:outlineLvl w:val="1"/>
        <w:rPr>
          <w:rFonts w:eastAsia="楷体_GB2312"/>
          <w:b/>
          <w:bCs/>
          <w:color w:val="auto"/>
          <w:sz w:val="32"/>
          <w:szCs w:val="32"/>
          <w:highlight w:val="none"/>
        </w:rPr>
      </w:pPr>
      <w:bookmarkStart w:id="36" w:name="_Toc11318_WPSOffice_Level2"/>
      <w:r>
        <w:rPr>
          <w:rFonts w:eastAsia="楷体_GB2312"/>
          <w:b/>
          <w:bCs/>
          <w:color w:val="auto"/>
          <w:sz w:val="32"/>
          <w:szCs w:val="32"/>
          <w:highlight w:val="none"/>
        </w:rPr>
        <w:t>（</w:t>
      </w:r>
      <w:r>
        <w:rPr>
          <w:rFonts w:hint="eastAsia" w:eastAsia="楷体_GB2312"/>
          <w:b/>
          <w:bCs/>
          <w:color w:val="auto"/>
          <w:sz w:val="32"/>
          <w:szCs w:val="32"/>
          <w:highlight w:val="none"/>
          <w:lang w:eastAsia="zh-CN"/>
        </w:rPr>
        <w:t>七</w:t>
      </w:r>
      <w:r>
        <w:rPr>
          <w:rFonts w:eastAsia="楷体_GB2312"/>
          <w:b/>
          <w:bCs/>
          <w:color w:val="auto"/>
          <w:sz w:val="32"/>
          <w:szCs w:val="32"/>
          <w:highlight w:val="none"/>
        </w:rPr>
        <w:t>）</w:t>
      </w:r>
      <w:bookmarkEnd w:id="36"/>
      <w:r>
        <w:rPr>
          <w:rFonts w:eastAsia="楷体_GB2312"/>
          <w:b/>
          <w:bCs/>
          <w:color w:val="auto"/>
          <w:sz w:val="32"/>
          <w:szCs w:val="32"/>
          <w:highlight w:val="none"/>
        </w:rPr>
        <w:t>建筑施工安全</w:t>
      </w:r>
    </w:p>
    <w:p>
      <w:pPr>
        <w:spacing w:line="560" w:lineRule="exact"/>
        <w:ind w:firstLine="640" w:firstLineChars="200"/>
        <w:rPr>
          <w:rFonts w:eastAsia="仿宋_GB2312"/>
          <w:color w:val="auto"/>
          <w:sz w:val="32"/>
          <w:szCs w:val="32"/>
          <w:highlight w:val="none"/>
        </w:rPr>
      </w:pPr>
      <w:r>
        <w:rPr>
          <w:rFonts w:eastAsia="仿宋_GB2312"/>
          <w:color w:val="auto"/>
          <w:sz w:val="32"/>
          <w:szCs w:val="32"/>
          <w:highlight w:val="none"/>
        </w:rPr>
        <w:t>改革建筑施工安全生产许可证制度，完善隧道事故预防机制，严格落实工程质量安全手册制度。完善建筑施工安全监管信息系统，健全建筑施工安全信用体系。深化房屋市政、公路、铁路、水利、电力等工程的专项整治。强化施工现场安全管理，推动施工现场安全管理标准化规范化。督促企业对临边、洞口</w:t>
      </w:r>
      <w:r>
        <w:rPr>
          <w:rFonts w:hint="eastAsia" w:eastAsia="仿宋_GB2312"/>
          <w:color w:val="auto"/>
          <w:sz w:val="32"/>
          <w:szCs w:val="32"/>
          <w:highlight w:val="none"/>
        </w:rPr>
        <w:t>、</w:t>
      </w:r>
      <w:r>
        <w:rPr>
          <w:rFonts w:eastAsia="仿宋_GB2312"/>
          <w:color w:val="auto"/>
          <w:sz w:val="32"/>
          <w:szCs w:val="32"/>
          <w:highlight w:val="none"/>
        </w:rPr>
        <w:t>攀登、悬空和交叉作业部位等区域实施重点防护，严防高处坠落事故。推动智慧工地建设，实施建设施工全生命周期管理。严格依法查处转包、违法分包、挂靠</w:t>
      </w:r>
      <w:r>
        <w:rPr>
          <w:rFonts w:hint="eastAsia" w:eastAsia="仿宋_GB2312"/>
          <w:color w:val="auto"/>
          <w:sz w:val="32"/>
          <w:szCs w:val="32"/>
          <w:highlight w:val="none"/>
        </w:rPr>
        <w:t>、</w:t>
      </w:r>
      <w:r>
        <w:rPr>
          <w:rFonts w:eastAsia="仿宋_GB2312"/>
          <w:color w:val="auto"/>
          <w:sz w:val="32"/>
          <w:szCs w:val="32"/>
          <w:highlight w:val="none"/>
        </w:rPr>
        <w:t>租借资质。超越资质承揽工程等行为，加大对重大工程</w:t>
      </w:r>
      <w:r>
        <w:rPr>
          <w:rFonts w:hint="eastAsia" w:eastAsia="仿宋_GB2312"/>
          <w:color w:val="auto"/>
          <w:sz w:val="32"/>
          <w:szCs w:val="32"/>
          <w:highlight w:val="none"/>
        </w:rPr>
        <w:t>、</w:t>
      </w:r>
      <w:r>
        <w:rPr>
          <w:rFonts w:eastAsia="仿宋_GB2312"/>
          <w:color w:val="auto"/>
          <w:sz w:val="32"/>
          <w:szCs w:val="32"/>
          <w:highlight w:val="none"/>
        </w:rPr>
        <w:t>重点地区</w:t>
      </w:r>
      <w:r>
        <w:rPr>
          <w:rFonts w:hint="eastAsia" w:eastAsia="仿宋_GB2312"/>
          <w:color w:val="auto"/>
          <w:sz w:val="32"/>
          <w:szCs w:val="32"/>
          <w:highlight w:val="none"/>
        </w:rPr>
        <w:t>、</w:t>
      </w:r>
      <w:r>
        <w:rPr>
          <w:rFonts w:eastAsia="仿宋_GB2312"/>
          <w:color w:val="auto"/>
          <w:sz w:val="32"/>
          <w:szCs w:val="32"/>
          <w:highlight w:val="none"/>
        </w:rPr>
        <w:t>高风险时段的监督检查力度。加强农村住房建设和危房改造施工安全管理，强化农村住房安全监管。</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市住房城乡建设局</w:t>
      </w:r>
      <w:r>
        <w:rPr>
          <w:rFonts w:hint="eastAsia" w:ascii="楷体_GB2312" w:eastAsia="楷体_GB2312"/>
          <w:color w:val="auto"/>
          <w:sz w:val="32"/>
          <w:szCs w:val="32"/>
          <w:highlight w:val="none"/>
        </w:rPr>
        <w:t>牵头完善）</w:t>
      </w:r>
    </w:p>
    <w:p>
      <w:pPr>
        <w:spacing w:line="560" w:lineRule="exact"/>
        <w:ind w:firstLine="642" w:firstLineChars="200"/>
        <w:outlineLvl w:val="1"/>
        <w:rPr>
          <w:rFonts w:eastAsia="楷体_GB2312"/>
          <w:b/>
          <w:bCs/>
          <w:color w:val="auto"/>
          <w:sz w:val="32"/>
          <w:szCs w:val="32"/>
          <w:highlight w:val="none"/>
        </w:rPr>
      </w:pPr>
      <w:bookmarkStart w:id="37" w:name="_Toc11701_WPSOffice_Level2"/>
      <w:r>
        <w:rPr>
          <w:rFonts w:eastAsia="楷体_GB2312"/>
          <w:b/>
          <w:bCs/>
          <w:color w:val="auto"/>
          <w:sz w:val="32"/>
          <w:szCs w:val="32"/>
          <w:highlight w:val="none"/>
        </w:rPr>
        <w:t>（</w:t>
      </w:r>
      <w:r>
        <w:rPr>
          <w:rFonts w:hint="eastAsia" w:eastAsia="楷体_GB2312"/>
          <w:b/>
          <w:bCs/>
          <w:color w:val="auto"/>
          <w:sz w:val="32"/>
          <w:szCs w:val="32"/>
          <w:highlight w:val="none"/>
          <w:lang w:eastAsia="zh-CN"/>
        </w:rPr>
        <w:t>八</w:t>
      </w:r>
      <w:r>
        <w:rPr>
          <w:rFonts w:eastAsia="楷体_GB2312"/>
          <w:b/>
          <w:bCs/>
          <w:color w:val="auto"/>
          <w:sz w:val="32"/>
          <w:szCs w:val="32"/>
          <w:highlight w:val="none"/>
        </w:rPr>
        <w:t>）农林渔业安全</w:t>
      </w:r>
      <w:bookmarkEnd w:id="37"/>
    </w:p>
    <w:p>
      <w:pPr>
        <w:spacing w:line="580" w:lineRule="exact"/>
        <w:ind w:firstLine="640" w:firstLineChars="200"/>
        <w:outlineLvl w:val="1"/>
        <w:rPr>
          <w:rFonts w:ascii="楷体_GB2312" w:eastAsia="楷体_GB2312"/>
          <w:color w:val="auto"/>
          <w:sz w:val="32"/>
          <w:szCs w:val="32"/>
          <w:highlight w:val="none"/>
        </w:rPr>
      </w:pPr>
      <w:r>
        <w:rPr>
          <w:rFonts w:eastAsia="仿宋_GB2312"/>
          <w:color w:val="auto"/>
          <w:sz w:val="32"/>
          <w:szCs w:val="32"/>
          <w:highlight w:val="none"/>
        </w:rPr>
        <w:t>完善农业机械注册登记、安全检验和驾驶培训制度，深化“平安农机”创建活动，强化对重点机具、重要农时以及农机合作社和农机大户等重点主体的安全监管。加强林区、林场基础设施建设安全管理和安全风险防控，提升森林火灾预防扑救。人员搜救等关键救援能力。加快渔船安全、消防、救生及通讯导航等安全应急设施设备升级改造。推进实施渔船更新改造和标准化，严格落实渔船初次检验、营运检验和船用产</w:t>
      </w:r>
      <w:r>
        <w:rPr>
          <w:rFonts w:hint="eastAsia" w:eastAsia="仿宋_GB2312"/>
          <w:color w:val="auto"/>
          <w:sz w:val="32"/>
          <w:szCs w:val="32"/>
          <w:highlight w:val="none"/>
        </w:rPr>
        <w:t>品</w:t>
      </w:r>
      <w:r>
        <w:rPr>
          <w:rFonts w:eastAsia="仿宋_GB2312"/>
          <w:color w:val="auto"/>
          <w:sz w:val="32"/>
          <w:szCs w:val="32"/>
          <w:highlight w:val="none"/>
        </w:rPr>
        <w:t>检验制度。强化隐患突出渔船和水域安全监管，严厉打击渔船超员超载，超风级超航区冒险航行作业、涉渔“三无船舶”非法作业等行为。</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市农业农村局、市自然资源规划局</w:t>
      </w:r>
      <w:r>
        <w:rPr>
          <w:rFonts w:hint="eastAsia" w:ascii="楷体_GB2312" w:eastAsia="楷体_GB2312"/>
          <w:color w:val="auto"/>
          <w:sz w:val="32"/>
          <w:szCs w:val="32"/>
          <w:highlight w:val="none"/>
        </w:rPr>
        <w:t>依据职责完善）</w:t>
      </w:r>
    </w:p>
    <w:p>
      <w:pPr>
        <w:spacing w:line="580" w:lineRule="exact"/>
        <w:ind w:firstLine="642" w:firstLineChars="200"/>
        <w:outlineLvl w:val="1"/>
        <w:rPr>
          <w:rFonts w:eastAsia="楷体_GB2312"/>
          <w:b/>
          <w:bCs/>
          <w:color w:val="auto"/>
          <w:sz w:val="32"/>
          <w:szCs w:val="32"/>
          <w:highlight w:val="none"/>
        </w:rPr>
      </w:pPr>
      <w:bookmarkStart w:id="38" w:name="_Toc29421_WPSOffice_Level2"/>
      <w:r>
        <w:rPr>
          <w:rFonts w:eastAsia="楷体_GB2312"/>
          <w:b/>
          <w:bCs/>
          <w:color w:val="auto"/>
          <w:sz w:val="32"/>
          <w:szCs w:val="32"/>
          <w:highlight w:val="none"/>
        </w:rPr>
        <w:t>（</w:t>
      </w:r>
      <w:r>
        <w:rPr>
          <w:rFonts w:hint="eastAsia" w:eastAsia="楷体_GB2312"/>
          <w:b/>
          <w:bCs/>
          <w:color w:val="auto"/>
          <w:sz w:val="32"/>
          <w:szCs w:val="32"/>
          <w:highlight w:val="none"/>
          <w:lang w:eastAsia="zh-CN"/>
        </w:rPr>
        <w:t>九</w:t>
      </w:r>
      <w:r>
        <w:rPr>
          <w:rFonts w:eastAsia="楷体_GB2312"/>
          <w:b/>
          <w:bCs/>
          <w:color w:val="auto"/>
          <w:sz w:val="32"/>
          <w:szCs w:val="32"/>
          <w:highlight w:val="none"/>
        </w:rPr>
        <w:t>）功能区安全</w:t>
      </w:r>
      <w:bookmarkEnd w:id="38"/>
    </w:p>
    <w:p>
      <w:pPr>
        <w:spacing w:line="580" w:lineRule="exact"/>
        <w:ind w:firstLine="640" w:firstLineChars="200"/>
        <w:outlineLvl w:val="1"/>
        <w:rPr>
          <w:rFonts w:hint="eastAsia" w:ascii="楷体_GB2312" w:eastAsia="楷体_GB2312"/>
          <w:color w:val="auto"/>
          <w:sz w:val="32"/>
          <w:szCs w:val="32"/>
          <w:highlight w:val="none"/>
        </w:rPr>
      </w:pPr>
      <w:r>
        <w:rPr>
          <w:rFonts w:eastAsia="仿宋_GB2312"/>
          <w:color w:val="auto"/>
          <w:sz w:val="32"/>
          <w:szCs w:val="32"/>
          <w:highlight w:val="none"/>
        </w:rPr>
        <w:t>统筹工业园区、物流仓储园区等功能区安全布局，优化园区功能分区布局，严格控制高风险功能分区规模。实施园区安全生产一体化、封闭化管理。完善</w:t>
      </w:r>
      <w:r>
        <w:rPr>
          <w:rFonts w:hint="eastAsia" w:eastAsia="仿宋_GB2312"/>
          <w:color w:val="auto"/>
          <w:sz w:val="32"/>
          <w:szCs w:val="32"/>
          <w:highlight w:val="none"/>
        </w:rPr>
        <w:t>园</w:t>
      </w:r>
      <w:r>
        <w:rPr>
          <w:rFonts w:eastAsia="仿宋_GB2312"/>
          <w:color w:val="auto"/>
          <w:sz w:val="32"/>
          <w:szCs w:val="32"/>
          <w:highlight w:val="none"/>
        </w:rPr>
        <w:t>区消防设施、消防车道等公用工程配套和安全保障设施。建立以风险分级管控和隐患排查治理为重点的园区安全预防控制体系。深化物流仓储园区风险隐患整治，加强物流仓储园区内危险货物运输车辆及装卸安全管理。加强水运口岸区域安全监督。推进智慧园区建设，建立园区集约化、智能化安全监管信息共享平台，实现园区内企业、重点场所。重大危险源、基础设施实时风险监控预警。</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市发展改革委</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市经济和信息化局</w:t>
      </w:r>
      <w:r>
        <w:rPr>
          <w:rFonts w:hint="eastAsia" w:ascii="楷体_GB2312" w:eastAsia="楷体_GB2312"/>
          <w:color w:val="auto"/>
          <w:sz w:val="32"/>
          <w:szCs w:val="32"/>
          <w:highlight w:val="none"/>
        </w:rPr>
        <w:t>依据职责完善）</w:t>
      </w:r>
    </w:p>
    <w:p>
      <w:pPr>
        <w:pStyle w:val="2"/>
        <w:spacing w:after="0" w:line="560" w:lineRule="exact"/>
        <w:ind w:firstLine="640" w:firstLineChars="200"/>
        <w:rPr>
          <w:rFonts w:hint="eastAsia" w:ascii="楷体_GB2312" w:eastAsia="楷体_GB2312"/>
          <w:color w:val="auto"/>
          <w:sz w:val="32"/>
          <w:szCs w:val="32"/>
          <w:highlight w:val="none"/>
        </w:rPr>
      </w:pPr>
      <w:r>
        <w:rPr>
          <w:rFonts w:hint="eastAsia" w:ascii="楷体_GB2312" w:eastAsia="楷体_GB2312"/>
          <w:color w:val="auto"/>
          <w:sz w:val="32"/>
          <w:szCs w:val="32"/>
          <w:highlight w:val="none"/>
        </w:rPr>
        <w:t>（十）特种设备安全</w:t>
      </w:r>
      <w:r>
        <w:rPr>
          <w:rFonts w:hint="eastAsia" w:ascii="楷体_GB2312" w:eastAsia="楷体_GB2312"/>
          <w:color w:val="auto"/>
          <w:sz w:val="32"/>
          <w:szCs w:val="32"/>
          <w:highlight w:val="none"/>
          <w:lang w:eastAsia="zh-CN"/>
        </w:rPr>
        <w:t>。</w:t>
      </w:r>
      <w:r>
        <w:rPr>
          <w:rFonts w:hint="eastAsia" w:ascii="仿宋_GB2312" w:eastAsia="仿宋_GB2312"/>
          <w:color w:val="auto"/>
          <w:sz w:val="32"/>
          <w:szCs w:val="32"/>
          <w:highlight w:val="none"/>
        </w:rPr>
        <w:t>明确特种设备安全监管职责，落实特种设备安全主体责任。强化对特种设备综合检验检测机构监管，提升特种设备检验检测质量。开展特种设备定期检验率定期通报，对特种设备定期检验情况现场核查，</w:t>
      </w:r>
      <w:r>
        <w:rPr>
          <w:rFonts w:hint="eastAsia" w:ascii="仿宋_GB2312" w:eastAsia="仿宋_GB2312"/>
          <w:color w:val="auto"/>
          <w:sz w:val="32"/>
          <w:szCs w:val="32"/>
          <w:highlight w:val="none"/>
        </w:rPr>
        <w:t>保持在用特种设备定期检验合格率持续</w:t>
      </w:r>
      <w:r>
        <w:rPr>
          <w:rFonts w:hint="eastAsia" w:ascii="仿宋_GB2312" w:eastAsia="仿宋_GB2312"/>
          <w:color w:val="auto"/>
          <w:sz w:val="32"/>
          <w:szCs w:val="32"/>
          <w:highlight w:val="none"/>
          <w:lang w:eastAsia="zh-CN"/>
        </w:rPr>
        <w:t>提升</w:t>
      </w:r>
      <w:r>
        <w:rPr>
          <w:rFonts w:hint="eastAsia" w:ascii="仿宋_GB2312" w:eastAsia="仿宋_GB2312"/>
          <w:color w:val="auto"/>
          <w:sz w:val="32"/>
          <w:szCs w:val="32"/>
          <w:highlight w:val="none"/>
        </w:rPr>
        <w:t>。以危化品压力</w:t>
      </w:r>
      <w:r>
        <w:rPr>
          <w:rFonts w:hint="eastAsia" w:ascii="仿宋_GB2312" w:eastAsia="仿宋_GB2312"/>
          <w:color w:val="auto"/>
          <w:sz w:val="32"/>
          <w:szCs w:val="32"/>
          <w:highlight w:val="none"/>
        </w:rPr>
        <w:t>容器、</w:t>
      </w:r>
      <w:r>
        <w:rPr>
          <w:rFonts w:hint="eastAsia" w:ascii="仿宋_GB2312" w:eastAsia="仿宋_GB2312"/>
          <w:color w:val="auto"/>
          <w:sz w:val="32"/>
          <w:szCs w:val="32"/>
          <w:highlight w:val="none"/>
          <w:lang w:eastAsia="zh-CN"/>
        </w:rPr>
        <w:t>压力管道</w:t>
      </w:r>
      <w:r>
        <w:rPr>
          <w:rFonts w:hint="eastAsia" w:ascii="仿宋_GB2312" w:eastAsia="仿宋_GB2312"/>
          <w:color w:val="auto"/>
          <w:sz w:val="32"/>
          <w:szCs w:val="32"/>
          <w:highlight w:val="none"/>
        </w:rPr>
        <w:t>、油气管道法定检验为重点，持续开展隐患排查治理。升级改造特种设备安全监管系统，实施特种设备安全信息化监管，加强特种设备安全应急救援能力建设。完善电梯应急处置服务平台建设，推进电梯维护保养模式和检验检测方式改革，提升电梯应急处置效率。推动电梯等重点特种设备投保安全生产责任险，公众聚集场所电梯安全生产责任险实现应保尽保。</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w:t>
      </w:r>
      <w:r>
        <w:rPr>
          <w:rFonts w:hint="eastAsia" w:ascii="楷体_GB2312" w:eastAsia="楷体_GB2312"/>
          <w:color w:val="auto"/>
          <w:sz w:val="32"/>
          <w:szCs w:val="32"/>
          <w:highlight w:val="none"/>
        </w:rPr>
        <w:t>市场监管局牵头完善）</w:t>
      </w:r>
    </w:p>
    <w:p>
      <w:pPr>
        <w:spacing w:line="560" w:lineRule="exact"/>
        <w:ind w:firstLine="640" w:firstLineChars="200"/>
        <w:rPr>
          <w:rFonts w:hint="eastAsia"/>
          <w:color w:val="auto"/>
          <w:highlight w:val="none"/>
          <w:lang w:val="en-US" w:eastAsia="zh-CN"/>
        </w:rPr>
      </w:pPr>
      <w:r>
        <w:rPr>
          <w:rFonts w:hint="eastAsia" w:ascii="楷体_GB2312" w:eastAsia="楷体_GB2312"/>
          <w:color w:val="auto"/>
          <w:sz w:val="32"/>
          <w:szCs w:val="32"/>
          <w:highlight w:val="none"/>
        </w:rPr>
        <w:t>（十</w:t>
      </w:r>
      <w:r>
        <w:rPr>
          <w:rFonts w:hint="eastAsia" w:ascii="楷体_GB2312" w:eastAsia="楷体_GB2312"/>
          <w:color w:val="auto"/>
          <w:sz w:val="32"/>
          <w:szCs w:val="32"/>
          <w:highlight w:val="none"/>
          <w:lang w:eastAsia="zh-CN"/>
        </w:rPr>
        <w:t>一</w:t>
      </w:r>
      <w:r>
        <w:rPr>
          <w:rFonts w:hint="eastAsia" w:ascii="楷体_GB2312" w:eastAsia="楷体_GB2312"/>
          <w:color w:val="auto"/>
          <w:sz w:val="32"/>
          <w:szCs w:val="32"/>
          <w:highlight w:val="none"/>
        </w:rPr>
        <w:t>）</w:t>
      </w:r>
      <w:r>
        <w:rPr>
          <w:rFonts w:hint="eastAsia" w:ascii="仿宋_GB2312" w:hAnsi="Calibri" w:eastAsia="仿宋_GB2312" w:cs="Calibri"/>
          <w:b/>
          <w:bCs/>
          <w:color w:val="auto"/>
          <w:sz w:val="32"/>
          <w:szCs w:val="32"/>
          <w:highlight w:val="none"/>
          <w:lang w:val="en-US" w:eastAsia="zh-CN"/>
        </w:rPr>
        <w:t>燃气安全：</w:t>
      </w:r>
      <w:r>
        <w:rPr>
          <w:rFonts w:hint="eastAsia" w:ascii="仿宋_GB2312" w:hAnsi="Calibri" w:eastAsia="仿宋_GB2312" w:cs="Calibri"/>
          <w:color w:val="auto"/>
          <w:sz w:val="32"/>
          <w:szCs w:val="32"/>
          <w:highlight w:val="none"/>
          <w:lang w:val="en-US" w:eastAsia="zh-CN"/>
        </w:rPr>
        <w:t>加强城镇燃气安全监管，</w:t>
      </w:r>
      <w:r>
        <w:rPr>
          <w:rFonts w:hint="default" w:ascii="仿宋_GB2312" w:hAnsi="Calibri" w:eastAsia="仿宋_GB2312" w:cs="Calibri"/>
          <w:color w:val="auto"/>
          <w:sz w:val="32"/>
          <w:szCs w:val="32"/>
          <w:highlight w:val="none"/>
          <w:lang w:val="en-US" w:eastAsia="zh-CN"/>
        </w:rPr>
        <w:t>建立健全燃气安全评估和</w:t>
      </w:r>
      <w:r>
        <w:rPr>
          <w:rFonts w:hint="default" w:ascii="仿宋_GB2312" w:hAnsi="Calibri" w:eastAsia="仿宋_GB2312" w:cs="Calibri"/>
          <w:color w:val="auto"/>
          <w:sz w:val="32"/>
          <w:szCs w:val="32"/>
          <w:highlight w:val="none"/>
          <w:lang w:val="en-US" w:eastAsia="zh-CN"/>
        </w:rPr>
        <w:fldChar w:fldCharType="begin"/>
      </w:r>
      <w:r>
        <w:rPr>
          <w:rFonts w:hint="default" w:ascii="仿宋_GB2312" w:hAnsi="Calibri" w:eastAsia="仿宋_GB2312" w:cs="Calibri"/>
          <w:color w:val="auto"/>
          <w:sz w:val="32"/>
          <w:szCs w:val="32"/>
          <w:highlight w:val="none"/>
          <w:lang w:val="en-US" w:eastAsia="zh-CN"/>
        </w:rPr>
        <w:instrText xml:space="preserve"> HYPERLINK "https://baike.so.com/doc/5017983-5243578.html" \t "https://baike.so.com/doc/_blank" </w:instrText>
      </w:r>
      <w:r>
        <w:rPr>
          <w:rFonts w:hint="default" w:ascii="仿宋_GB2312" w:hAnsi="Calibri" w:eastAsia="仿宋_GB2312" w:cs="Calibri"/>
          <w:color w:val="auto"/>
          <w:sz w:val="32"/>
          <w:szCs w:val="32"/>
          <w:highlight w:val="none"/>
          <w:lang w:val="en-US" w:eastAsia="zh-CN"/>
        </w:rPr>
        <w:fldChar w:fldCharType="separate"/>
      </w:r>
      <w:r>
        <w:rPr>
          <w:rFonts w:hint="default" w:ascii="仿宋_GB2312" w:hAnsi="Calibri" w:eastAsia="仿宋_GB2312" w:cs="Calibri"/>
          <w:color w:val="auto"/>
          <w:sz w:val="32"/>
          <w:szCs w:val="32"/>
          <w:highlight w:val="none"/>
          <w:lang w:val="en-US" w:eastAsia="zh-CN"/>
        </w:rPr>
        <w:t>风险管理体系</w:t>
      </w:r>
      <w:r>
        <w:rPr>
          <w:rFonts w:hint="default" w:ascii="仿宋_GB2312" w:hAnsi="Calibri" w:eastAsia="仿宋_GB2312" w:cs="Calibri"/>
          <w:color w:val="auto"/>
          <w:sz w:val="32"/>
          <w:szCs w:val="32"/>
          <w:highlight w:val="none"/>
          <w:lang w:val="en-US" w:eastAsia="zh-CN"/>
        </w:rPr>
        <w:fldChar w:fldCharType="end"/>
      </w:r>
      <w:r>
        <w:rPr>
          <w:rFonts w:hint="default" w:ascii="仿宋_GB2312" w:hAnsi="Calibri" w:eastAsia="仿宋_GB2312" w:cs="Calibri"/>
          <w:color w:val="auto"/>
          <w:sz w:val="32"/>
          <w:szCs w:val="32"/>
          <w:highlight w:val="none"/>
          <w:lang w:val="en-US" w:eastAsia="zh-CN"/>
        </w:rPr>
        <w:t>，</w:t>
      </w:r>
      <w:r>
        <w:rPr>
          <w:rFonts w:hint="eastAsia" w:ascii="仿宋_GB2312" w:hAnsi="Calibri" w:eastAsia="仿宋_GB2312" w:cs="Calibri"/>
          <w:color w:val="auto"/>
          <w:sz w:val="32"/>
          <w:szCs w:val="32"/>
          <w:highlight w:val="none"/>
          <w:lang w:val="en-US" w:eastAsia="zh-CN"/>
        </w:rPr>
        <w:t>全面开展燃气领域隐患排查治理。强化燃气行业安全监管，严格燃气经营市场管理，对各类供气公司和瓶装燃气运营、销售、运输经营单位实施全过程监管，依法依规开展燃气设施建设，严厉打击燃气领域违法违规行为，积极推广液化气瓶装供应站建设，使用燃气的餐饮等行业生产经营单位，全面安装可燃气体报警装置，并保障装置正常使用。统筹规划开展城市燃气安全运行监测系统建设，运用先进监测设备和大数据、物联网等科技信息手段对城区燃气重点风险区域进行监测。建立政府和企业燃气监管工作沟通机制，加强燃气监测信息和数据实时共享，提升燃气监测工作效能。（市城市管理局牵头完善）</w:t>
      </w:r>
    </w:p>
    <w:p>
      <w:pPr>
        <w:spacing w:line="580" w:lineRule="exact"/>
        <w:ind w:firstLine="640" w:firstLineChars="200"/>
        <w:outlineLvl w:val="1"/>
        <w:rPr>
          <w:rFonts w:hint="eastAsia" w:ascii="楷体_GB2312" w:eastAsia="楷体_GB2312"/>
          <w:color w:val="auto"/>
          <w:sz w:val="32"/>
          <w:szCs w:val="32"/>
          <w:highlight w:val="none"/>
        </w:rPr>
      </w:pPr>
      <w:r>
        <w:rPr>
          <w:rFonts w:hint="eastAsia" w:ascii="楷体_GB2312" w:eastAsia="楷体_GB2312"/>
          <w:color w:val="auto"/>
          <w:sz w:val="32"/>
          <w:szCs w:val="32"/>
          <w:highlight w:val="none"/>
        </w:rPr>
        <w:t>（十</w:t>
      </w:r>
      <w:r>
        <w:rPr>
          <w:rFonts w:hint="eastAsia" w:ascii="楷体_GB2312" w:eastAsia="楷体_GB2312"/>
          <w:color w:val="auto"/>
          <w:sz w:val="32"/>
          <w:szCs w:val="32"/>
          <w:highlight w:val="none"/>
          <w:lang w:eastAsia="zh-CN"/>
        </w:rPr>
        <w:t>二</w:t>
      </w:r>
      <w:r>
        <w:rPr>
          <w:rFonts w:hint="eastAsia" w:ascii="楷体_GB2312" w:eastAsia="楷体_GB2312"/>
          <w:color w:val="auto"/>
          <w:sz w:val="32"/>
          <w:szCs w:val="32"/>
          <w:highlight w:val="none"/>
        </w:rPr>
        <w:t>）文化旅游安全</w:t>
      </w:r>
      <w:r>
        <w:rPr>
          <w:rFonts w:hint="eastAsia" w:ascii="楷体_GB2312" w:eastAsia="楷体_GB2312"/>
          <w:color w:val="auto"/>
          <w:sz w:val="32"/>
          <w:szCs w:val="32"/>
          <w:highlight w:val="none"/>
          <w:lang w:eastAsia="zh-CN"/>
        </w:rPr>
        <w:t>。全面</w:t>
      </w:r>
      <w:r>
        <w:rPr>
          <w:rFonts w:hint="eastAsia" w:ascii="仿宋_GB2312" w:hAnsi="Calibri" w:eastAsia="仿宋_GB2312" w:cs="Calibri"/>
          <w:color w:val="auto"/>
          <w:sz w:val="32"/>
          <w:szCs w:val="32"/>
          <w:highlight w:val="none"/>
          <w:lang w:val="en-US" w:eastAsia="zh-CN"/>
        </w:rPr>
        <w:t>推进景区景点、旅游企业安全标准化建设。加强对各类景区、旅行社、星级饭店、旅游客运以及民宿、网红桥等新业态、新行业的安全监管。健全旅游安全风险提示制度，完善旅游突发事件应对机制，加快推进旅游气象、地质灾害、生态环境、流量控制等监测和预报预警系统建设。加强旅游景点应急导向标识、安全提示措施和公共安全基础设施建设。将旅游安全执法依法纳入综合行政执法体系，建立旅游行政执法与公安执法的联勤联动机制。围绕重要会议、重大赛事、节假日和旅游旺季等时间节点，对餐饮、住宿、交通、旅游经营、文化娱乐和购物消费市场等重点领域集中开展安全风险辨识和隐患排查治理。</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w:t>
      </w:r>
      <w:r>
        <w:rPr>
          <w:rFonts w:hint="eastAsia" w:ascii="楷体_GB2312" w:eastAsia="楷体_GB2312"/>
          <w:color w:val="auto"/>
          <w:sz w:val="32"/>
          <w:szCs w:val="32"/>
          <w:highlight w:val="none"/>
        </w:rPr>
        <w:t>文化旅游</w:t>
      </w:r>
      <w:r>
        <w:rPr>
          <w:rFonts w:hint="eastAsia" w:ascii="楷体_GB2312" w:eastAsia="楷体_GB2312"/>
          <w:color w:val="auto"/>
          <w:sz w:val="32"/>
          <w:szCs w:val="32"/>
          <w:highlight w:val="none"/>
          <w:lang w:eastAsia="zh-CN"/>
        </w:rPr>
        <w:t>局</w:t>
      </w:r>
      <w:r>
        <w:rPr>
          <w:rFonts w:hint="eastAsia" w:ascii="楷体_GB2312" w:eastAsia="楷体_GB2312"/>
          <w:color w:val="auto"/>
          <w:sz w:val="32"/>
          <w:szCs w:val="32"/>
          <w:highlight w:val="none"/>
        </w:rPr>
        <w:t>牵头完善）</w:t>
      </w:r>
    </w:p>
    <w:p>
      <w:pPr>
        <w:spacing w:line="580" w:lineRule="exact"/>
        <w:ind w:firstLine="640" w:firstLineChars="200"/>
        <w:outlineLvl w:val="1"/>
        <w:rPr>
          <w:rFonts w:hint="eastAsia" w:ascii="楷体_GB2312" w:eastAsia="楷体_GB2312"/>
          <w:color w:val="auto"/>
          <w:sz w:val="32"/>
          <w:szCs w:val="32"/>
          <w:highlight w:val="none"/>
        </w:rPr>
      </w:pPr>
      <w:r>
        <w:rPr>
          <w:rFonts w:hint="eastAsia" w:ascii="楷体_GB2312" w:eastAsia="楷体_GB2312"/>
          <w:color w:val="auto"/>
          <w:sz w:val="32"/>
          <w:szCs w:val="32"/>
          <w:highlight w:val="none"/>
        </w:rPr>
        <w:t>（十</w:t>
      </w:r>
      <w:r>
        <w:rPr>
          <w:rFonts w:hint="eastAsia" w:ascii="楷体_GB2312" w:eastAsia="楷体_GB2312"/>
          <w:color w:val="auto"/>
          <w:sz w:val="32"/>
          <w:szCs w:val="32"/>
          <w:highlight w:val="none"/>
          <w:lang w:eastAsia="zh-CN"/>
        </w:rPr>
        <w:t>三</w:t>
      </w:r>
      <w:r>
        <w:rPr>
          <w:rFonts w:hint="eastAsia" w:ascii="楷体_GB2312" w:eastAsia="楷体_GB2312"/>
          <w:color w:val="auto"/>
          <w:sz w:val="32"/>
          <w:szCs w:val="32"/>
          <w:highlight w:val="none"/>
        </w:rPr>
        <w:t>）校园安全（</w:t>
      </w:r>
      <w:r>
        <w:rPr>
          <w:rFonts w:hint="eastAsia" w:ascii="楷体_GB2312" w:eastAsia="楷体_GB2312"/>
          <w:color w:val="auto"/>
          <w:sz w:val="32"/>
          <w:szCs w:val="32"/>
          <w:highlight w:val="none"/>
          <w:lang w:eastAsia="zh-CN"/>
        </w:rPr>
        <w:t>市教育局</w:t>
      </w:r>
      <w:r>
        <w:rPr>
          <w:rFonts w:hint="eastAsia" w:ascii="楷体_GB2312" w:eastAsia="楷体_GB2312"/>
          <w:color w:val="auto"/>
          <w:sz w:val="32"/>
          <w:szCs w:val="32"/>
          <w:highlight w:val="none"/>
        </w:rPr>
        <w:t>牵头完善）</w:t>
      </w:r>
    </w:p>
    <w:p>
      <w:pPr>
        <w:spacing w:line="580" w:lineRule="exact"/>
        <w:ind w:firstLine="640" w:firstLineChars="200"/>
        <w:outlineLvl w:val="1"/>
        <w:rPr>
          <w:rFonts w:hint="eastAsia" w:ascii="楷体_GB2312" w:eastAsia="楷体_GB2312"/>
          <w:color w:val="auto"/>
          <w:sz w:val="32"/>
          <w:szCs w:val="32"/>
          <w:highlight w:val="none"/>
        </w:rPr>
      </w:pPr>
      <w:r>
        <w:rPr>
          <w:rFonts w:hint="eastAsia" w:ascii="楷体_GB2312" w:eastAsia="楷体_GB2312"/>
          <w:color w:val="auto"/>
          <w:sz w:val="32"/>
          <w:szCs w:val="32"/>
          <w:highlight w:val="none"/>
        </w:rPr>
        <w:t>（十</w:t>
      </w:r>
      <w:r>
        <w:rPr>
          <w:rFonts w:hint="eastAsia" w:ascii="楷体_GB2312" w:eastAsia="楷体_GB2312"/>
          <w:color w:val="auto"/>
          <w:sz w:val="32"/>
          <w:szCs w:val="32"/>
          <w:highlight w:val="none"/>
          <w:lang w:eastAsia="zh-CN"/>
        </w:rPr>
        <w:t>四</w:t>
      </w:r>
      <w:r>
        <w:rPr>
          <w:rFonts w:hint="eastAsia" w:ascii="楷体_GB2312" w:eastAsia="楷体_GB2312"/>
          <w:color w:val="auto"/>
          <w:sz w:val="32"/>
          <w:szCs w:val="32"/>
          <w:highlight w:val="none"/>
        </w:rPr>
        <w:t>）民政服务机构安全（</w:t>
      </w:r>
      <w:r>
        <w:rPr>
          <w:rFonts w:hint="eastAsia" w:ascii="楷体_GB2312" w:eastAsia="楷体_GB2312"/>
          <w:color w:val="auto"/>
          <w:sz w:val="32"/>
          <w:szCs w:val="32"/>
          <w:highlight w:val="none"/>
          <w:lang w:eastAsia="zh-CN"/>
        </w:rPr>
        <w:t>市</w:t>
      </w:r>
      <w:r>
        <w:rPr>
          <w:rFonts w:hint="eastAsia" w:ascii="楷体_GB2312" w:eastAsia="楷体_GB2312"/>
          <w:color w:val="auto"/>
          <w:sz w:val="32"/>
          <w:szCs w:val="32"/>
          <w:highlight w:val="none"/>
        </w:rPr>
        <w:t>民政</w:t>
      </w:r>
      <w:r>
        <w:rPr>
          <w:rFonts w:hint="eastAsia" w:ascii="楷体_GB2312" w:eastAsia="楷体_GB2312"/>
          <w:color w:val="auto"/>
          <w:sz w:val="32"/>
          <w:szCs w:val="32"/>
          <w:highlight w:val="none"/>
          <w:lang w:eastAsia="zh-CN"/>
        </w:rPr>
        <w:t>局</w:t>
      </w:r>
      <w:r>
        <w:rPr>
          <w:rFonts w:hint="eastAsia" w:ascii="楷体_GB2312" w:eastAsia="楷体_GB2312"/>
          <w:color w:val="auto"/>
          <w:sz w:val="32"/>
          <w:szCs w:val="32"/>
          <w:highlight w:val="none"/>
        </w:rPr>
        <w:t>牵头完善）</w:t>
      </w:r>
    </w:p>
    <w:p>
      <w:pPr>
        <w:spacing w:line="580" w:lineRule="exact"/>
        <w:ind w:firstLine="640" w:firstLineChars="200"/>
        <w:outlineLvl w:val="1"/>
        <w:rPr>
          <w:rFonts w:hint="eastAsia" w:ascii="楷体_GB2312" w:eastAsia="楷体_GB2312"/>
          <w:color w:val="auto"/>
          <w:sz w:val="32"/>
          <w:szCs w:val="32"/>
          <w:highlight w:val="none"/>
          <w:lang w:eastAsia="zh-CN"/>
        </w:rPr>
      </w:pPr>
      <w:r>
        <w:rPr>
          <w:rFonts w:hint="eastAsia" w:ascii="楷体_GB2312" w:eastAsia="楷体_GB2312"/>
          <w:color w:val="auto"/>
          <w:sz w:val="32"/>
          <w:szCs w:val="32"/>
          <w:highlight w:val="none"/>
        </w:rPr>
        <w:t>（十</w:t>
      </w:r>
      <w:r>
        <w:rPr>
          <w:rFonts w:hint="eastAsia" w:ascii="楷体_GB2312" w:eastAsia="楷体_GB2312"/>
          <w:color w:val="auto"/>
          <w:sz w:val="32"/>
          <w:szCs w:val="32"/>
          <w:highlight w:val="none"/>
          <w:lang w:eastAsia="zh-CN"/>
        </w:rPr>
        <w:t>五</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医疗卫生安全（市卫生健康委牵头完善）</w:t>
      </w:r>
    </w:p>
    <w:p>
      <w:pPr>
        <w:spacing w:line="580" w:lineRule="exact"/>
        <w:ind w:firstLine="640" w:firstLineChars="200"/>
        <w:outlineLvl w:val="1"/>
        <w:rPr>
          <w:rFonts w:hint="eastAsia" w:ascii="楷体_GB2312" w:eastAsia="楷体_GB2312"/>
          <w:color w:val="auto"/>
          <w:sz w:val="32"/>
          <w:szCs w:val="32"/>
          <w:highlight w:val="none"/>
        </w:rPr>
      </w:pPr>
      <w:r>
        <w:rPr>
          <w:rFonts w:hint="eastAsia" w:ascii="楷体_GB2312" w:eastAsia="楷体_GB2312"/>
          <w:color w:val="auto"/>
          <w:sz w:val="32"/>
          <w:szCs w:val="32"/>
          <w:highlight w:val="none"/>
          <w:lang w:eastAsia="zh-CN"/>
        </w:rPr>
        <w:t>（十六）</w:t>
      </w:r>
      <w:r>
        <w:rPr>
          <w:rFonts w:hint="eastAsia" w:ascii="楷体_GB2312" w:eastAsia="楷体_GB2312"/>
          <w:color w:val="auto"/>
          <w:sz w:val="32"/>
          <w:szCs w:val="32"/>
          <w:highlight w:val="none"/>
        </w:rPr>
        <w:t>自然资源领域安全（</w:t>
      </w:r>
      <w:r>
        <w:rPr>
          <w:rFonts w:hint="eastAsia" w:ascii="楷体_GB2312" w:eastAsia="楷体_GB2312"/>
          <w:color w:val="auto"/>
          <w:sz w:val="32"/>
          <w:szCs w:val="32"/>
          <w:highlight w:val="none"/>
          <w:lang w:eastAsia="zh-CN"/>
        </w:rPr>
        <w:t>市</w:t>
      </w:r>
      <w:r>
        <w:rPr>
          <w:rFonts w:hint="eastAsia" w:ascii="楷体_GB2312" w:eastAsia="楷体_GB2312"/>
          <w:color w:val="auto"/>
          <w:sz w:val="32"/>
          <w:szCs w:val="32"/>
          <w:highlight w:val="none"/>
        </w:rPr>
        <w:t>自然资源</w:t>
      </w:r>
      <w:r>
        <w:rPr>
          <w:rFonts w:hint="eastAsia" w:ascii="楷体_GB2312" w:eastAsia="楷体_GB2312"/>
          <w:color w:val="auto"/>
          <w:sz w:val="32"/>
          <w:szCs w:val="32"/>
          <w:highlight w:val="none"/>
          <w:lang w:eastAsia="zh-CN"/>
        </w:rPr>
        <w:t>局</w:t>
      </w:r>
      <w:r>
        <w:rPr>
          <w:rFonts w:hint="eastAsia" w:ascii="楷体_GB2312" w:eastAsia="楷体_GB2312"/>
          <w:color w:val="auto"/>
          <w:sz w:val="32"/>
          <w:szCs w:val="32"/>
          <w:highlight w:val="none"/>
        </w:rPr>
        <w:t>牵头完善）</w:t>
      </w:r>
    </w:p>
    <w:p>
      <w:pPr>
        <w:spacing w:line="580" w:lineRule="exact"/>
        <w:ind w:firstLine="640" w:firstLineChars="200"/>
        <w:outlineLvl w:val="1"/>
        <w:rPr>
          <w:rFonts w:ascii="楷体_GB2312" w:eastAsia="楷体_GB2312"/>
          <w:color w:val="auto"/>
          <w:sz w:val="32"/>
          <w:szCs w:val="32"/>
          <w:highlight w:val="none"/>
        </w:rPr>
      </w:pP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十七</w:t>
      </w:r>
      <w:r>
        <w:rPr>
          <w:rFonts w:hint="eastAsia" w:ascii="楷体_GB2312" w:eastAsia="楷体_GB2312"/>
          <w:color w:val="auto"/>
          <w:sz w:val="32"/>
          <w:szCs w:val="32"/>
          <w:highlight w:val="none"/>
        </w:rPr>
        <w:t>）商务领域安全（</w:t>
      </w:r>
      <w:r>
        <w:rPr>
          <w:rFonts w:hint="eastAsia" w:ascii="楷体_GB2312" w:eastAsia="楷体_GB2312"/>
          <w:color w:val="auto"/>
          <w:sz w:val="32"/>
          <w:szCs w:val="32"/>
          <w:highlight w:val="none"/>
          <w:lang w:eastAsia="zh-CN"/>
        </w:rPr>
        <w:t>市</w:t>
      </w:r>
      <w:r>
        <w:rPr>
          <w:rFonts w:hint="eastAsia" w:ascii="楷体_GB2312" w:eastAsia="楷体_GB2312"/>
          <w:color w:val="auto"/>
          <w:sz w:val="32"/>
          <w:szCs w:val="32"/>
          <w:highlight w:val="none"/>
        </w:rPr>
        <w:t>商务</w:t>
      </w:r>
      <w:r>
        <w:rPr>
          <w:rFonts w:hint="eastAsia" w:ascii="楷体_GB2312" w:eastAsia="楷体_GB2312"/>
          <w:color w:val="auto"/>
          <w:sz w:val="32"/>
          <w:szCs w:val="32"/>
          <w:highlight w:val="none"/>
          <w:lang w:eastAsia="zh-CN"/>
        </w:rPr>
        <w:t>局</w:t>
      </w:r>
      <w:r>
        <w:rPr>
          <w:rFonts w:hint="eastAsia" w:ascii="楷体_GB2312" w:eastAsia="楷体_GB2312"/>
          <w:color w:val="auto"/>
          <w:sz w:val="32"/>
          <w:szCs w:val="32"/>
          <w:highlight w:val="none"/>
        </w:rPr>
        <w:t>牵头完善）</w:t>
      </w:r>
    </w:p>
    <w:p>
      <w:pPr>
        <w:spacing w:line="560" w:lineRule="exact"/>
        <w:ind w:firstLine="640" w:firstLineChars="200"/>
        <w:outlineLvl w:val="0"/>
        <w:rPr>
          <w:rFonts w:eastAsia="黑体"/>
          <w:color w:val="auto"/>
          <w:sz w:val="32"/>
          <w:szCs w:val="32"/>
          <w:highlight w:val="none"/>
        </w:rPr>
      </w:pPr>
      <w:bookmarkStart w:id="39" w:name="_Toc11701_WPSOffice_Level1"/>
      <w:r>
        <w:rPr>
          <w:rFonts w:eastAsia="黑体"/>
          <w:color w:val="auto"/>
          <w:sz w:val="32"/>
          <w:szCs w:val="32"/>
          <w:highlight w:val="none"/>
        </w:rPr>
        <w:t>七、强化应急救援处置效能</w:t>
      </w:r>
      <w:bookmarkEnd w:id="39"/>
    </w:p>
    <w:p>
      <w:pPr>
        <w:spacing w:line="560" w:lineRule="exact"/>
        <w:ind w:firstLine="642" w:firstLineChars="200"/>
        <w:outlineLvl w:val="1"/>
        <w:rPr>
          <w:rFonts w:eastAsia="楷体_GB2312"/>
          <w:b/>
          <w:bCs/>
          <w:color w:val="auto"/>
          <w:sz w:val="32"/>
          <w:szCs w:val="32"/>
          <w:highlight w:val="none"/>
        </w:rPr>
      </w:pPr>
      <w:bookmarkStart w:id="40" w:name="_Toc14492_WPSOffice_Level2"/>
      <w:r>
        <w:rPr>
          <w:rFonts w:eastAsia="楷体_GB2312"/>
          <w:b/>
          <w:bCs/>
          <w:color w:val="auto"/>
          <w:sz w:val="32"/>
          <w:szCs w:val="32"/>
          <w:highlight w:val="none"/>
        </w:rPr>
        <w:t>（一）夯实企业应急基础</w:t>
      </w:r>
      <w:bookmarkEnd w:id="40"/>
    </w:p>
    <w:p>
      <w:pPr>
        <w:spacing w:line="560" w:lineRule="exact"/>
        <w:ind w:firstLine="640" w:firstLineChars="200"/>
        <w:rPr>
          <w:rFonts w:ascii="楷体_GB2312" w:eastAsia="楷体_GB2312"/>
          <w:color w:val="auto"/>
          <w:sz w:val="32"/>
          <w:szCs w:val="32"/>
          <w:highlight w:val="none"/>
        </w:rPr>
      </w:pPr>
      <w:r>
        <w:rPr>
          <w:rFonts w:eastAsia="仿宋_GB2312"/>
          <w:color w:val="auto"/>
          <w:sz w:val="32"/>
          <w:szCs w:val="32"/>
          <w:highlight w:val="none"/>
        </w:rPr>
        <w:t>完善应急预案管理与演练制度，加大对企业应急预案监督管理力度，加强政企预案街接与联动。强化重点岗位、重点部位现场应急处置方案实操性监督检查，强化制度化、全员化、多形式的应急救援演练。建立企业应急预案修订与备案制度。推动规模以上高危行业领域企业加强专兼职应急救援队伍建设与应急物资装备配备，建立内部监测预警、态势研判及与周边企业、政府的信息通报、资源互助机制。加强桥梁垮塌、隧道</w:t>
      </w:r>
      <w:r>
        <w:rPr>
          <w:rFonts w:hint="eastAsia" w:eastAsia="仿宋_GB2312"/>
          <w:color w:val="auto"/>
          <w:sz w:val="32"/>
          <w:szCs w:val="32"/>
          <w:highlight w:val="none"/>
          <w:lang w:eastAsia="zh-CN"/>
        </w:rPr>
        <w:t>事故</w:t>
      </w:r>
      <w:r>
        <w:rPr>
          <w:rFonts w:eastAsia="仿宋_GB2312"/>
          <w:color w:val="auto"/>
          <w:sz w:val="32"/>
          <w:szCs w:val="32"/>
          <w:highlight w:val="none"/>
        </w:rPr>
        <w:t>、大型客船遇险等巨灾情景构建，建设</w:t>
      </w:r>
      <w:r>
        <w:rPr>
          <w:rFonts w:hint="eastAsia" w:eastAsia="仿宋_GB2312"/>
          <w:color w:val="auto"/>
          <w:sz w:val="32"/>
          <w:szCs w:val="32"/>
          <w:highlight w:val="none"/>
        </w:rPr>
        <w:t>一</w:t>
      </w:r>
      <w:r>
        <w:rPr>
          <w:rFonts w:eastAsia="仿宋_GB2312"/>
          <w:color w:val="auto"/>
          <w:sz w:val="32"/>
          <w:szCs w:val="32"/>
          <w:highlight w:val="none"/>
        </w:rPr>
        <w:t>批应急演练情景库。实施以基层为重点的实战化应急演练活动，提升自救互救技能。</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市应急局应急指挥中心</w:t>
      </w:r>
      <w:r>
        <w:rPr>
          <w:rFonts w:hint="eastAsia" w:ascii="楷体_GB2312" w:eastAsia="楷体_GB2312"/>
          <w:color w:val="auto"/>
          <w:sz w:val="32"/>
          <w:szCs w:val="32"/>
          <w:highlight w:val="none"/>
        </w:rPr>
        <w:t>牵头完善）</w:t>
      </w:r>
    </w:p>
    <w:p>
      <w:pPr>
        <w:spacing w:line="560" w:lineRule="exact"/>
        <w:ind w:firstLine="642" w:firstLineChars="200"/>
        <w:outlineLvl w:val="1"/>
        <w:rPr>
          <w:rFonts w:eastAsia="楷体_GB2312"/>
          <w:b/>
          <w:bCs/>
          <w:color w:val="auto"/>
          <w:sz w:val="32"/>
          <w:szCs w:val="32"/>
          <w:highlight w:val="none"/>
        </w:rPr>
      </w:pPr>
      <w:bookmarkStart w:id="41" w:name="_Toc30653_WPSOffice_Level2"/>
      <w:r>
        <w:rPr>
          <w:rFonts w:eastAsia="楷体_GB2312"/>
          <w:b/>
          <w:bCs/>
          <w:color w:val="auto"/>
          <w:sz w:val="32"/>
          <w:szCs w:val="32"/>
          <w:highlight w:val="none"/>
        </w:rPr>
        <w:t>（二）提升应急救援能力</w:t>
      </w:r>
      <w:bookmarkEnd w:id="41"/>
    </w:p>
    <w:p>
      <w:pPr>
        <w:spacing w:line="560" w:lineRule="exact"/>
        <w:ind w:firstLine="640" w:firstLineChars="200"/>
        <w:rPr>
          <w:rFonts w:eastAsia="仿宋_GB2312"/>
          <w:color w:val="auto"/>
          <w:sz w:val="32"/>
          <w:szCs w:val="32"/>
          <w:highlight w:val="none"/>
        </w:rPr>
      </w:pPr>
      <w:r>
        <w:rPr>
          <w:rFonts w:eastAsia="仿宋_GB2312"/>
          <w:color w:val="auto"/>
          <w:sz w:val="32"/>
          <w:szCs w:val="32"/>
          <w:highlight w:val="none"/>
        </w:rPr>
        <w:t>加快推进重点区城、重点行业领域国家级安全生产应急救援队伍建设，提升</w:t>
      </w:r>
      <w:r>
        <w:rPr>
          <w:rFonts w:hint="eastAsia" w:eastAsia="仿宋_GB2312"/>
          <w:color w:val="auto"/>
          <w:sz w:val="32"/>
          <w:szCs w:val="32"/>
          <w:highlight w:val="none"/>
        </w:rPr>
        <w:t>我</w:t>
      </w:r>
      <w:r>
        <w:rPr>
          <w:rFonts w:hint="eastAsia" w:eastAsia="仿宋_GB2312"/>
          <w:color w:val="auto"/>
          <w:sz w:val="32"/>
          <w:szCs w:val="32"/>
          <w:highlight w:val="none"/>
          <w:lang w:eastAsia="zh-CN"/>
        </w:rPr>
        <w:t>市煤矿</w:t>
      </w:r>
      <w:r>
        <w:rPr>
          <w:rFonts w:eastAsia="仿宋_GB2312"/>
          <w:color w:val="auto"/>
          <w:sz w:val="32"/>
          <w:szCs w:val="32"/>
          <w:highlight w:val="none"/>
        </w:rPr>
        <w:t>、危险化学品、水上搜救、交通等事故应急处置能力。规范地方骨干、基层安全生产应急救援队伍职能定位、建设规模与装备配备。强化高危行业企业应急救援队伍能力建设，配齐配强人员装备。推动工业园区、开发区等产业聚集区内企业联合建立专职</w:t>
      </w:r>
      <w:r>
        <w:rPr>
          <w:rFonts w:hint="eastAsia" w:eastAsia="仿宋_GB2312"/>
          <w:color w:val="auto"/>
          <w:sz w:val="32"/>
          <w:szCs w:val="32"/>
          <w:highlight w:val="none"/>
        </w:rPr>
        <w:t>救援</w:t>
      </w:r>
      <w:r>
        <w:rPr>
          <w:rFonts w:eastAsia="仿宋_GB2312"/>
          <w:color w:val="auto"/>
          <w:sz w:val="32"/>
          <w:szCs w:val="32"/>
          <w:highlight w:val="none"/>
        </w:rPr>
        <w:t>队伍。推进综合性环境应急、航空应急救援和事件调查、无人智能救援装备测试、航空器消防救援等实训设施建设。健全市场经济下安全生产应急救援社会化运行模式，培育专业化应急救援组织。完善跨区域联合救援机制，</w:t>
      </w:r>
      <w:r>
        <w:rPr>
          <w:rFonts w:hint="eastAsia" w:eastAsia="仿宋_GB2312"/>
          <w:color w:val="auto"/>
          <w:sz w:val="32"/>
          <w:szCs w:val="32"/>
          <w:highlight w:val="none"/>
          <w:lang w:eastAsia="zh-CN"/>
        </w:rPr>
        <w:t>融入</w:t>
      </w:r>
      <w:r>
        <w:rPr>
          <w:rFonts w:hint="eastAsia" w:eastAsia="仿宋_GB2312"/>
          <w:color w:val="auto"/>
          <w:sz w:val="32"/>
          <w:szCs w:val="32"/>
          <w:highlight w:val="none"/>
        </w:rPr>
        <w:t>长三角</w:t>
      </w:r>
      <w:r>
        <w:rPr>
          <w:rFonts w:eastAsia="仿宋_GB2312"/>
          <w:color w:val="auto"/>
          <w:sz w:val="32"/>
          <w:szCs w:val="32"/>
          <w:highlight w:val="none"/>
        </w:rPr>
        <w:t>应急救援资源共享与联合处置。引导社会力量有序参与安全生产应急救援。</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市应急局应急指挥中心</w:t>
      </w:r>
      <w:r>
        <w:rPr>
          <w:rFonts w:hint="eastAsia" w:ascii="楷体_GB2312" w:eastAsia="楷体_GB2312"/>
          <w:color w:val="auto"/>
          <w:sz w:val="32"/>
          <w:szCs w:val="32"/>
          <w:highlight w:val="none"/>
        </w:rPr>
        <w:t>牵头完善）</w:t>
      </w:r>
    </w:p>
    <w:p>
      <w:pPr>
        <w:spacing w:line="560" w:lineRule="exact"/>
        <w:ind w:firstLine="642" w:firstLineChars="200"/>
        <w:outlineLvl w:val="1"/>
        <w:rPr>
          <w:rFonts w:eastAsia="楷体_GB2312"/>
          <w:b/>
          <w:bCs/>
          <w:color w:val="auto"/>
          <w:sz w:val="32"/>
          <w:szCs w:val="32"/>
          <w:highlight w:val="none"/>
        </w:rPr>
      </w:pPr>
      <w:bookmarkStart w:id="42" w:name="_Toc22849_WPSOffice_Level2"/>
      <w:r>
        <w:rPr>
          <w:rFonts w:eastAsia="楷体_GB2312"/>
          <w:b/>
          <w:bCs/>
          <w:color w:val="auto"/>
          <w:sz w:val="32"/>
          <w:szCs w:val="32"/>
          <w:highlight w:val="none"/>
        </w:rPr>
        <w:t>（三）增强救援保障水平</w:t>
      </w:r>
      <w:bookmarkEnd w:id="42"/>
    </w:p>
    <w:p>
      <w:pPr>
        <w:spacing w:line="560" w:lineRule="exact"/>
        <w:ind w:firstLine="640" w:firstLineChars="200"/>
        <w:rPr>
          <w:rFonts w:eastAsia="仿宋_GB2312"/>
          <w:color w:val="auto"/>
          <w:sz w:val="32"/>
          <w:szCs w:val="32"/>
          <w:highlight w:val="none"/>
        </w:rPr>
      </w:pPr>
      <w:r>
        <w:rPr>
          <w:rFonts w:hint="eastAsia" w:eastAsia="仿宋_GB2312"/>
          <w:color w:val="auto"/>
          <w:sz w:val="32"/>
          <w:szCs w:val="32"/>
          <w:highlight w:val="none"/>
          <w:lang w:eastAsia="zh-CN"/>
        </w:rPr>
        <w:t>对接</w:t>
      </w:r>
      <w:r>
        <w:rPr>
          <w:rFonts w:eastAsia="仿宋_GB2312"/>
          <w:color w:val="auto"/>
          <w:sz w:val="32"/>
          <w:szCs w:val="32"/>
          <w:highlight w:val="none"/>
        </w:rPr>
        <w:t>省</w:t>
      </w:r>
      <w:r>
        <w:rPr>
          <w:rFonts w:hint="eastAsia" w:eastAsia="仿宋_GB2312"/>
          <w:color w:val="auto"/>
          <w:sz w:val="32"/>
          <w:szCs w:val="32"/>
          <w:highlight w:val="none"/>
          <w:lang w:eastAsia="zh-CN"/>
        </w:rPr>
        <w:t>，</w:t>
      </w:r>
      <w:r>
        <w:rPr>
          <w:rFonts w:eastAsia="仿宋_GB2312"/>
          <w:color w:val="auto"/>
          <w:sz w:val="32"/>
          <w:szCs w:val="32"/>
          <w:highlight w:val="none"/>
        </w:rPr>
        <w:t>完善市、县等各级应急管理部门互联互通的安全生产应急救援指挥平台体系，提升应急救援机构与事故现场的远程通信指挥保障能力。加强应急救援基础数据库建设，完善应急救援装备技术参数信息库，建立应急救援基础数据普查与动态采集报送机制。加强救援实训基础设施建设，提升</w:t>
      </w:r>
      <w:r>
        <w:rPr>
          <w:rFonts w:hint="eastAsia" w:eastAsia="仿宋_GB2312"/>
          <w:color w:val="auto"/>
          <w:sz w:val="32"/>
          <w:szCs w:val="32"/>
          <w:highlight w:val="none"/>
          <w:lang w:eastAsia="zh-CN"/>
        </w:rPr>
        <w:t>市</w:t>
      </w:r>
      <w:r>
        <w:rPr>
          <w:rFonts w:eastAsia="仿宋_GB2312"/>
          <w:color w:val="auto"/>
          <w:sz w:val="32"/>
          <w:szCs w:val="32"/>
          <w:highlight w:val="none"/>
        </w:rPr>
        <w:t>级安全生产应急救援队伍跨区域作战自我保障能力。健全道路交通事故多部门联动救援救治长效机制，完善事故救援救治网络。加强应急装备实物储备，建立实物储备和协议储备相结合的储备机制，构建应急装备储备与调度管理平台。完善安全生产应急装备储备与调运制度，健全各地应急</w:t>
      </w:r>
      <w:r>
        <w:rPr>
          <w:rFonts w:hint="eastAsia" w:eastAsia="仿宋_GB2312"/>
          <w:color w:val="auto"/>
          <w:sz w:val="32"/>
          <w:szCs w:val="32"/>
          <w:highlight w:val="none"/>
        </w:rPr>
        <w:t>救援</w:t>
      </w:r>
      <w:r>
        <w:rPr>
          <w:rFonts w:eastAsia="仿宋_GB2312"/>
          <w:color w:val="auto"/>
          <w:sz w:val="32"/>
          <w:szCs w:val="32"/>
          <w:highlight w:val="none"/>
        </w:rPr>
        <w:t>资源共享</w:t>
      </w:r>
      <w:r>
        <w:rPr>
          <w:rFonts w:hint="eastAsia" w:eastAsia="仿宋_GB2312"/>
          <w:color w:val="auto"/>
          <w:sz w:val="32"/>
          <w:szCs w:val="32"/>
          <w:highlight w:val="none"/>
        </w:rPr>
        <w:t>、</w:t>
      </w:r>
      <w:r>
        <w:rPr>
          <w:rFonts w:eastAsia="仿宋_GB2312"/>
          <w:color w:val="auto"/>
          <w:sz w:val="32"/>
          <w:szCs w:val="32"/>
          <w:highlight w:val="none"/>
        </w:rPr>
        <w:t>快速输送与联合处置机制。完善应急救援生态环境保护制度。</w:t>
      </w:r>
      <w:r>
        <w:rPr>
          <w:rFonts w:hint="eastAsia" w:eastAsia="仿宋_GB2312"/>
          <w:color w:val="auto"/>
          <w:sz w:val="32"/>
          <w:szCs w:val="32"/>
          <w:highlight w:val="none"/>
        </w:rPr>
        <w:t>落实</w:t>
      </w:r>
      <w:r>
        <w:rPr>
          <w:rFonts w:eastAsia="仿宋_GB2312"/>
          <w:color w:val="auto"/>
          <w:sz w:val="32"/>
          <w:szCs w:val="32"/>
          <w:highlight w:val="none"/>
        </w:rPr>
        <w:t>应急救援社会化有偿服务、应急装备征用补偿、应急救援人员人身安全保险等政策。</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市应急局应急指挥中心</w:t>
      </w:r>
      <w:r>
        <w:rPr>
          <w:rFonts w:hint="eastAsia" w:ascii="楷体_GB2312" w:eastAsia="楷体_GB2312"/>
          <w:color w:val="auto"/>
          <w:sz w:val="32"/>
          <w:szCs w:val="32"/>
          <w:highlight w:val="none"/>
        </w:rPr>
        <w:t>牵头完善）</w:t>
      </w:r>
    </w:p>
    <w:p>
      <w:pPr>
        <w:spacing w:line="580" w:lineRule="exact"/>
        <w:ind w:firstLine="640" w:firstLineChars="200"/>
        <w:outlineLvl w:val="0"/>
        <w:rPr>
          <w:rFonts w:eastAsia="黑体"/>
          <w:color w:val="auto"/>
          <w:sz w:val="32"/>
          <w:szCs w:val="32"/>
          <w:highlight w:val="none"/>
        </w:rPr>
      </w:pPr>
      <w:bookmarkStart w:id="43" w:name="_Toc29421_WPSOffice_Level1"/>
      <w:r>
        <w:rPr>
          <w:rFonts w:eastAsia="黑体"/>
          <w:color w:val="auto"/>
          <w:sz w:val="32"/>
          <w:szCs w:val="32"/>
          <w:highlight w:val="none"/>
        </w:rPr>
        <w:t>八、统筹安全生产支撑保障</w:t>
      </w:r>
      <w:bookmarkEnd w:id="43"/>
    </w:p>
    <w:p>
      <w:pPr>
        <w:spacing w:line="580" w:lineRule="exact"/>
        <w:ind w:firstLine="642" w:firstLineChars="200"/>
        <w:outlineLvl w:val="1"/>
        <w:rPr>
          <w:rFonts w:eastAsia="楷体_GB2312"/>
          <w:b/>
          <w:bCs/>
          <w:color w:val="auto"/>
          <w:sz w:val="32"/>
          <w:szCs w:val="32"/>
          <w:highlight w:val="none"/>
        </w:rPr>
      </w:pPr>
      <w:bookmarkStart w:id="44" w:name="_Toc10666_WPSOffice_Level2"/>
      <w:r>
        <w:rPr>
          <w:rFonts w:eastAsia="楷体_GB2312"/>
          <w:b/>
          <w:bCs/>
          <w:color w:val="auto"/>
          <w:sz w:val="32"/>
          <w:szCs w:val="32"/>
          <w:highlight w:val="none"/>
        </w:rPr>
        <w:t>（一）加快专业人才培养</w:t>
      </w:r>
      <w:bookmarkEnd w:id="44"/>
    </w:p>
    <w:p>
      <w:pPr>
        <w:spacing w:line="560" w:lineRule="exact"/>
        <w:ind w:firstLine="640" w:firstLineChars="200"/>
        <w:rPr>
          <w:rFonts w:eastAsia="仿宋_GB2312"/>
          <w:color w:val="auto"/>
          <w:sz w:val="32"/>
          <w:szCs w:val="32"/>
          <w:highlight w:val="none"/>
        </w:rPr>
      </w:pPr>
      <w:r>
        <w:rPr>
          <w:rFonts w:eastAsia="仿宋_GB2312"/>
          <w:color w:val="auto"/>
          <w:sz w:val="32"/>
          <w:szCs w:val="32"/>
          <w:highlight w:val="none"/>
        </w:rPr>
        <w:t>实施高危行业领域从业人员安全技能提升专项行动，严格企业主要负责人、安全管理人员安全生产知识和管理能力考核，以及特种作业人员安全技能培训考核。加强高危行业重点岗位系列安全培训教材开发。加强安全科学与工程专业技术领军人才和青年拔尖人才培养，建设一批创新人才培养基地，造就一批高端安全科技创新人才。完善与理论研究、技术创新、装备研发和应用研究等工作相适应的科技人才激励机制。加强注册安全工程师、注册消防工程师等职业资格管理。加强注册消防工程师资格考试指导。加强安全科学与工程学科建设，加大安全生产管理，认证认可和检验检测等人才培养力度。健全安全生产监管干部培养与使用体系，建立安全监管干部到基层锻炼的交流机制。</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市应急局应急办公室</w:t>
      </w:r>
      <w:r>
        <w:rPr>
          <w:rFonts w:hint="eastAsia" w:ascii="楷体_GB2312" w:eastAsia="楷体_GB2312"/>
          <w:color w:val="auto"/>
          <w:sz w:val="32"/>
          <w:szCs w:val="32"/>
          <w:highlight w:val="none"/>
        </w:rPr>
        <w:t>牵头完善）</w:t>
      </w:r>
    </w:p>
    <w:p>
      <w:pPr>
        <w:spacing w:line="580" w:lineRule="exact"/>
        <w:ind w:firstLine="642" w:firstLineChars="200"/>
        <w:outlineLvl w:val="1"/>
        <w:rPr>
          <w:rFonts w:eastAsia="楷体_GB2312"/>
          <w:b/>
          <w:bCs/>
          <w:color w:val="auto"/>
          <w:sz w:val="32"/>
          <w:szCs w:val="32"/>
          <w:highlight w:val="none"/>
        </w:rPr>
      </w:pPr>
      <w:bookmarkStart w:id="45" w:name="_Toc9342_WPSOffice_Level2"/>
      <w:r>
        <w:rPr>
          <w:rFonts w:eastAsia="楷体_GB2312"/>
          <w:b/>
          <w:bCs/>
          <w:color w:val="auto"/>
          <w:sz w:val="32"/>
          <w:szCs w:val="32"/>
          <w:highlight w:val="none"/>
        </w:rPr>
        <w:t>（二）强化科技创新引领</w:t>
      </w:r>
      <w:bookmarkEnd w:id="45"/>
    </w:p>
    <w:p>
      <w:pPr>
        <w:spacing w:line="580" w:lineRule="exact"/>
        <w:ind w:firstLine="640" w:firstLineChars="200"/>
        <w:outlineLvl w:val="1"/>
        <w:rPr>
          <w:rFonts w:ascii="楷体_GB2312" w:eastAsia="楷体_GB2312"/>
          <w:color w:val="auto"/>
          <w:sz w:val="32"/>
          <w:szCs w:val="32"/>
          <w:highlight w:val="none"/>
        </w:rPr>
      </w:pPr>
      <w:r>
        <w:rPr>
          <w:rFonts w:eastAsia="仿宋_GB2312"/>
          <w:color w:val="auto"/>
          <w:sz w:val="32"/>
          <w:szCs w:val="32"/>
          <w:highlight w:val="none"/>
        </w:rPr>
        <w:t>聚焦事故形成机理和演化规律</w:t>
      </w:r>
      <w:r>
        <w:rPr>
          <w:rFonts w:hint="eastAsia" w:eastAsia="仿宋_GB2312"/>
          <w:color w:val="auto"/>
          <w:sz w:val="32"/>
          <w:szCs w:val="32"/>
          <w:highlight w:val="none"/>
        </w:rPr>
        <w:t>、</w:t>
      </w:r>
      <w:r>
        <w:rPr>
          <w:rFonts w:eastAsia="仿宋_GB2312"/>
          <w:color w:val="auto"/>
          <w:sz w:val="32"/>
          <w:szCs w:val="32"/>
          <w:highlight w:val="none"/>
        </w:rPr>
        <w:t>复合灾害事故风险防范与应急救援等重大理论问题，实施重大事故防范。优先发展信息化、智能化、无人化的安全生产风险监测预警装备，重点提升安全生产危险工艺设备的机械化自动化水平</w:t>
      </w:r>
      <w:r>
        <w:rPr>
          <w:rFonts w:hint="eastAsia" w:eastAsia="仿宋_GB2312"/>
          <w:color w:val="auto"/>
          <w:sz w:val="32"/>
          <w:szCs w:val="32"/>
          <w:highlight w:val="none"/>
        </w:rPr>
        <w:t>，</w:t>
      </w:r>
      <w:r>
        <w:rPr>
          <w:rFonts w:eastAsia="仿宋_GB2312"/>
          <w:color w:val="auto"/>
          <w:sz w:val="32"/>
          <w:szCs w:val="32"/>
          <w:highlight w:val="none"/>
        </w:rPr>
        <w:t>着力破解重大安全风险的超前预测、动态监测，主动预警等关键技术瓶颈。</w:t>
      </w:r>
      <w:r>
        <w:rPr>
          <w:rFonts w:hint="eastAsia" w:eastAsia="仿宋_GB2312"/>
          <w:color w:val="auto"/>
          <w:sz w:val="32"/>
          <w:szCs w:val="32"/>
          <w:highlight w:val="none"/>
          <w:lang w:eastAsia="zh-CN"/>
        </w:rPr>
        <w:t>使用好省</w:t>
      </w:r>
      <w:r>
        <w:rPr>
          <w:rFonts w:eastAsia="仿宋_GB2312"/>
          <w:color w:val="auto"/>
          <w:sz w:val="32"/>
          <w:szCs w:val="32"/>
          <w:highlight w:val="none"/>
        </w:rPr>
        <w:t>建立</w:t>
      </w:r>
      <w:r>
        <w:rPr>
          <w:rFonts w:hint="eastAsia" w:eastAsia="仿宋_GB2312"/>
          <w:color w:val="auto"/>
          <w:sz w:val="32"/>
          <w:szCs w:val="32"/>
          <w:highlight w:val="none"/>
          <w:lang w:eastAsia="zh-CN"/>
        </w:rPr>
        <w:t>的</w:t>
      </w:r>
      <w:r>
        <w:rPr>
          <w:rFonts w:eastAsia="仿宋_GB2312"/>
          <w:color w:val="auto"/>
          <w:sz w:val="32"/>
          <w:szCs w:val="32"/>
          <w:highlight w:val="none"/>
        </w:rPr>
        <w:t>安全生产装备与服务需求信息平台、</w:t>
      </w:r>
      <w:r>
        <w:rPr>
          <w:rFonts w:eastAsia="仿宋_GB2312"/>
          <w:color w:val="auto"/>
          <w:sz w:val="32"/>
          <w:szCs w:val="32"/>
          <w:highlight w:val="none"/>
        </w:rPr>
        <w:t>技术创新转化交易平台，优化安全生产科技支撑服务市场化运行机制。推广安全风险防控和隐患排查治理技术与装备，加强重点行业领域先进技术装备的推广应用。</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市应急局办公室</w:t>
      </w:r>
      <w:r>
        <w:rPr>
          <w:rFonts w:hint="eastAsia" w:ascii="楷体_GB2312" w:eastAsia="楷体_GB2312"/>
          <w:color w:val="auto"/>
          <w:sz w:val="32"/>
          <w:szCs w:val="32"/>
          <w:highlight w:val="none"/>
        </w:rPr>
        <w:t>牵头完善）</w:t>
      </w:r>
    </w:p>
    <w:p>
      <w:pPr>
        <w:spacing w:line="580" w:lineRule="exact"/>
        <w:ind w:firstLine="642" w:firstLineChars="200"/>
        <w:outlineLvl w:val="1"/>
        <w:rPr>
          <w:rFonts w:eastAsia="楷体_GB2312"/>
          <w:b/>
          <w:bCs/>
          <w:color w:val="auto"/>
          <w:sz w:val="32"/>
          <w:szCs w:val="32"/>
          <w:highlight w:val="none"/>
        </w:rPr>
      </w:pPr>
      <w:bookmarkStart w:id="46" w:name="_Toc20232_WPSOffice_Level2"/>
      <w:r>
        <w:rPr>
          <w:rFonts w:eastAsia="楷体_GB2312"/>
          <w:b/>
          <w:bCs/>
          <w:color w:val="auto"/>
          <w:sz w:val="32"/>
          <w:szCs w:val="32"/>
          <w:highlight w:val="none"/>
        </w:rPr>
        <w:t>（三）推进安全信息化建设</w:t>
      </w:r>
      <w:bookmarkEnd w:id="46"/>
    </w:p>
    <w:p>
      <w:pPr>
        <w:spacing w:line="580" w:lineRule="exact"/>
        <w:ind w:firstLine="640" w:firstLineChars="200"/>
        <w:rPr>
          <w:rFonts w:eastAsia="仿宋_GB2312"/>
          <w:color w:val="auto"/>
          <w:sz w:val="32"/>
          <w:szCs w:val="32"/>
          <w:highlight w:val="none"/>
        </w:rPr>
      </w:pPr>
      <w:r>
        <w:rPr>
          <w:rFonts w:eastAsia="仿宋_GB2312"/>
          <w:color w:val="auto"/>
          <w:sz w:val="32"/>
          <w:szCs w:val="32"/>
          <w:highlight w:val="none"/>
        </w:rPr>
        <w:t>制定完善安全生产信息化标准规范，提高信息化系统的整体适配度。深化高危行业领城企业安全生产风险监测预警系统建设，实现分级分类</w:t>
      </w:r>
      <w:r>
        <w:rPr>
          <w:rFonts w:hint="eastAsia" w:eastAsia="仿宋_GB2312"/>
          <w:color w:val="auto"/>
          <w:sz w:val="32"/>
          <w:szCs w:val="32"/>
          <w:highlight w:val="none"/>
        </w:rPr>
        <w:t>、</w:t>
      </w:r>
      <w:r>
        <w:rPr>
          <w:rFonts w:eastAsia="仿宋_GB2312"/>
          <w:color w:val="auto"/>
          <w:sz w:val="32"/>
          <w:szCs w:val="32"/>
          <w:highlight w:val="none"/>
        </w:rPr>
        <w:t>实时监测</w:t>
      </w:r>
      <w:r>
        <w:rPr>
          <w:rFonts w:hint="eastAsia" w:eastAsia="仿宋_GB2312"/>
          <w:color w:val="auto"/>
          <w:sz w:val="32"/>
          <w:szCs w:val="32"/>
          <w:highlight w:val="none"/>
        </w:rPr>
        <w:t>、</w:t>
      </w:r>
      <w:r>
        <w:rPr>
          <w:rFonts w:eastAsia="仿宋_GB2312"/>
          <w:color w:val="auto"/>
          <w:sz w:val="32"/>
          <w:szCs w:val="32"/>
          <w:highlight w:val="none"/>
        </w:rPr>
        <w:t>动态评估和及时预警。汇聚消防安全、交通运输</w:t>
      </w:r>
      <w:r>
        <w:rPr>
          <w:rFonts w:hint="eastAsia" w:eastAsia="仿宋_GB2312"/>
          <w:color w:val="auto"/>
          <w:sz w:val="32"/>
          <w:szCs w:val="32"/>
          <w:highlight w:val="none"/>
        </w:rPr>
        <w:t>、</w:t>
      </w:r>
      <w:r>
        <w:rPr>
          <w:rFonts w:eastAsia="仿宋_GB2312"/>
          <w:color w:val="auto"/>
          <w:sz w:val="32"/>
          <w:szCs w:val="32"/>
          <w:highlight w:val="none"/>
        </w:rPr>
        <w:t>城市生命线、大型综合体等城市风险感知数据，加快完善城市安全风险监测预警公共信息系统。</w:t>
      </w:r>
      <w:r>
        <w:rPr>
          <w:rFonts w:hint="eastAsia" w:eastAsia="仿宋_GB2312"/>
          <w:color w:val="auto"/>
          <w:sz w:val="32"/>
          <w:szCs w:val="32"/>
          <w:highlight w:val="none"/>
          <w:lang w:eastAsia="zh-CN"/>
        </w:rPr>
        <w:t>按</w:t>
      </w:r>
      <w:r>
        <w:rPr>
          <w:rFonts w:hint="eastAsia" w:eastAsia="仿宋_GB2312"/>
          <w:color w:val="auto"/>
          <w:sz w:val="32"/>
          <w:szCs w:val="32"/>
          <w:highlight w:val="none"/>
          <w:lang w:eastAsia="zh-CN"/>
        </w:rPr>
        <w:t>照省部署，</w:t>
      </w:r>
      <w:r>
        <w:rPr>
          <w:rFonts w:eastAsia="仿宋_GB2312"/>
          <w:color w:val="auto"/>
          <w:sz w:val="32"/>
          <w:szCs w:val="32"/>
          <w:highlight w:val="none"/>
        </w:rPr>
        <w:t>建立</w:t>
      </w:r>
      <w:r>
        <w:rPr>
          <w:rFonts w:hint="eastAsia" w:eastAsia="仿宋_GB2312"/>
          <w:color w:val="auto"/>
          <w:sz w:val="32"/>
          <w:szCs w:val="32"/>
          <w:highlight w:val="none"/>
        </w:rPr>
        <w:t>全</w:t>
      </w:r>
      <w:r>
        <w:rPr>
          <w:rFonts w:hint="eastAsia" w:eastAsia="仿宋_GB2312"/>
          <w:color w:val="auto"/>
          <w:sz w:val="32"/>
          <w:szCs w:val="32"/>
          <w:highlight w:val="none"/>
          <w:lang w:eastAsia="zh-CN"/>
        </w:rPr>
        <w:t>市</w:t>
      </w:r>
      <w:r>
        <w:rPr>
          <w:rFonts w:eastAsia="仿宋_GB2312"/>
          <w:color w:val="auto"/>
          <w:sz w:val="32"/>
          <w:szCs w:val="32"/>
          <w:highlight w:val="none"/>
        </w:rPr>
        <w:t>统一的应急管理监管执法信息系统，加快推进“互联网+执法”信息系统应用，培育“工业互联网+安全生产”协同创新模式，以物联网、大数据为基础，加强重点行业领域安全生产监管，构建基于工业互联网的安全感知、评估、监测、预警与处置体系。引导高危行业领城企业开展基于信息化的风险分级管控与</w:t>
      </w:r>
      <w:r>
        <w:rPr>
          <w:rFonts w:hint="eastAsia" w:eastAsia="仿宋_GB2312"/>
          <w:color w:val="auto"/>
          <w:sz w:val="32"/>
          <w:szCs w:val="32"/>
          <w:highlight w:val="none"/>
        </w:rPr>
        <w:t>隐患</w:t>
      </w:r>
      <w:r>
        <w:rPr>
          <w:rFonts w:eastAsia="仿宋_GB2312"/>
          <w:color w:val="auto"/>
          <w:sz w:val="32"/>
          <w:szCs w:val="32"/>
          <w:highlight w:val="none"/>
        </w:rPr>
        <w:t>排查治理双重预防机制建设。建立基于大数据的特种设备智慧监管体系。</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w:t>
      </w:r>
      <w:r>
        <w:rPr>
          <w:rFonts w:hint="eastAsia" w:ascii="楷体_GB2312" w:eastAsia="楷体_GB2312"/>
          <w:color w:val="auto"/>
          <w:sz w:val="32"/>
          <w:szCs w:val="32"/>
          <w:highlight w:val="none"/>
        </w:rPr>
        <w:t>应急</w:t>
      </w:r>
      <w:r>
        <w:rPr>
          <w:rFonts w:hint="eastAsia" w:ascii="楷体_GB2312" w:eastAsia="楷体_GB2312"/>
          <w:color w:val="auto"/>
          <w:sz w:val="32"/>
          <w:szCs w:val="32"/>
          <w:highlight w:val="none"/>
          <w:lang w:eastAsia="zh-CN"/>
        </w:rPr>
        <w:t>局办公室、执法支队</w:t>
      </w:r>
      <w:r>
        <w:rPr>
          <w:rFonts w:hint="eastAsia" w:ascii="楷体_GB2312" w:eastAsia="楷体_GB2312"/>
          <w:color w:val="auto"/>
          <w:sz w:val="32"/>
          <w:szCs w:val="32"/>
          <w:highlight w:val="none"/>
        </w:rPr>
        <w:t>牵头完善）</w:t>
      </w:r>
    </w:p>
    <w:p>
      <w:pPr>
        <w:spacing w:line="580" w:lineRule="exact"/>
        <w:ind w:firstLine="640" w:firstLineChars="200"/>
        <w:outlineLvl w:val="0"/>
        <w:rPr>
          <w:rFonts w:eastAsia="黑体"/>
          <w:color w:val="auto"/>
          <w:sz w:val="32"/>
          <w:szCs w:val="32"/>
          <w:highlight w:val="none"/>
        </w:rPr>
      </w:pPr>
      <w:bookmarkStart w:id="47" w:name="_Toc14492_WPSOffice_Level1"/>
      <w:r>
        <w:rPr>
          <w:rFonts w:eastAsia="黑体"/>
          <w:color w:val="auto"/>
          <w:sz w:val="32"/>
          <w:szCs w:val="32"/>
          <w:highlight w:val="none"/>
        </w:rPr>
        <w:t>九、构建社会共治安全格局</w:t>
      </w:r>
      <w:bookmarkEnd w:id="47"/>
    </w:p>
    <w:p>
      <w:pPr>
        <w:spacing w:line="580" w:lineRule="exact"/>
        <w:ind w:firstLine="642" w:firstLineChars="200"/>
        <w:outlineLvl w:val="1"/>
        <w:rPr>
          <w:rFonts w:eastAsia="楷体_GB2312"/>
          <w:b/>
          <w:bCs/>
          <w:color w:val="auto"/>
          <w:sz w:val="32"/>
          <w:szCs w:val="32"/>
          <w:highlight w:val="none"/>
        </w:rPr>
      </w:pPr>
      <w:bookmarkStart w:id="48" w:name="_Toc8392_WPSOffice_Level2"/>
      <w:r>
        <w:rPr>
          <w:rFonts w:eastAsia="楷体_GB2312"/>
          <w:b/>
          <w:bCs/>
          <w:color w:val="auto"/>
          <w:sz w:val="32"/>
          <w:szCs w:val="32"/>
          <w:highlight w:val="none"/>
        </w:rPr>
        <w:t>（一）提高全民安全素质</w:t>
      </w:r>
      <w:bookmarkEnd w:id="48"/>
    </w:p>
    <w:p>
      <w:pPr>
        <w:spacing w:line="580" w:lineRule="exact"/>
        <w:ind w:firstLine="640" w:firstLineChars="200"/>
        <w:rPr>
          <w:rFonts w:eastAsia="仿宋_GB2312"/>
          <w:color w:val="auto"/>
          <w:sz w:val="32"/>
          <w:szCs w:val="32"/>
          <w:highlight w:val="none"/>
        </w:rPr>
      </w:pPr>
      <w:r>
        <w:rPr>
          <w:rFonts w:eastAsia="仿宋_GB2312"/>
          <w:color w:val="auto"/>
          <w:sz w:val="32"/>
          <w:szCs w:val="32"/>
          <w:highlight w:val="none"/>
        </w:rPr>
        <w:t>鼓励和支持各类媒体开设不同形式的安全生产专题专栏，引导全社会关心关注安全发展。实施全民安全生产宣传教育行动计划，</w:t>
      </w:r>
      <w:r>
        <w:rPr>
          <w:rFonts w:hint="eastAsia" w:eastAsia="仿宋_GB2312"/>
          <w:color w:val="auto"/>
          <w:sz w:val="32"/>
          <w:szCs w:val="32"/>
          <w:highlight w:val="none"/>
        </w:rPr>
        <w:t>推广</w:t>
      </w:r>
      <w:r>
        <w:rPr>
          <w:rFonts w:eastAsia="仿宋_GB2312"/>
          <w:color w:val="auto"/>
          <w:sz w:val="32"/>
          <w:szCs w:val="32"/>
          <w:highlight w:val="none"/>
        </w:rPr>
        <w:t>国家安全生产教育平台</w:t>
      </w:r>
      <w:r>
        <w:rPr>
          <w:rFonts w:hint="eastAsia" w:eastAsia="仿宋_GB2312"/>
          <w:color w:val="auto"/>
          <w:sz w:val="32"/>
          <w:szCs w:val="32"/>
          <w:highlight w:val="none"/>
        </w:rPr>
        <w:t>应用</w:t>
      </w:r>
      <w:r>
        <w:rPr>
          <w:rFonts w:eastAsia="仿宋_GB2312"/>
          <w:color w:val="auto"/>
          <w:sz w:val="32"/>
          <w:szCs w:val="32"/>
          <w:highlight w:val="none"/>
        </w:rPr>
        <w:t>，引导公众践行安全的生产生活方式。将安全教育纳入公民法治和科学常识普及、职业枝能培训等工作中。推动智能科普宣教和安全宣传体系建设，完善安全生产科普知识库，建立安全生产法规标准查询、解读、互动的交流信息平台，推广“两微一端”新媒体平台。鼓励安全文化作</w:t>
      </w:r>
      <w:r>
        <w:rPr>
          <w:rFonts w:hint="eastAsia" w:eastAsia="仿宋_GB2312"/>
          <w:color w:val="auto"/>
          <w:sz w:val="32"/>
          <w:szCs w:val="32"/>
          <w:highlight w:val="none"/>
        </w:rPr>
        <w:t>品</w:t>
      </w:r>
      <w:r>
        <w:rPr>
          <w:rFonts w:eastAsia="仿宋_GB2312"/>
          <w:color w:val="auto"/>
          <w:sz w:val="32"/>
          <w:szCs w:val="32"/>
          <w:highlight w:val="none"/>
        </w:rPr>
        <w:t>创作，丰富安全生产宣传产品， 创新安全文化服务方式和手段，开展安全生产公益宣传活动</w:t>
      </w:r>
      <w:r>
        <w:rPr>
          <w:rFonts w:hint="eastAsia" w:eastAsia="仿宋_GB2312"/>
          <w:color w:val="auto"/>
          <w:sz w:val="32"/>
          <w:szCs w:val="32"/>
          <w:highlight w:val="none"/>
        </w:rPr>
        <w:t>，</w:t>
      </w:r>
      <w:r>
        <w:rPr>
          <w:rFonts w:eastAsia="仿宋_GB2312"/>
          <w:color w:val="auto"/>
          <w:sz w:val="32"/>
          <w:szCs w:val="32"/>
          <w:highlight w:val="none"/>
        </w:rPr>
        <w:t>持续实施“安全生产月”“安全生产万里行”系列精品活动项目。建设安全科普宣传教育和安全体验基地，在有条件的社区公园、广场、乡村服务场所等设置专题展板，推进安全知识进企业、进农村、进社区、进学校、进家庭，积极开展群众性应急培训，普及安全常识和应急知识。推动建设具有城市特色的安全文化教育体验基地与场馆，加快推进企业安全文化建设。</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市应急管理局办公室</w:t>
      </w:r>
      <w:r>
        <w:rPr>
          <w:rFonts w:hint="eastAsia" w:ascii="楷体_GB2312" w:eastAsia="楷体_GB2312"/>
          <w:color w:val="auto"/>
          <w:sz w:val="32"/>
          <w:szCs w:val="32"/>
          <w:highlight w:val="none"/>
        </w:rPr>
        <w:t>牵头完善）</w:t>
      </w:r>
    </w:p>
    <w:p>
      <w:pPr>
        <w:spacing w:line="580" w:lineRule="exact"/>
        <w:ind w:firstLine="642" w:firstLineChars="200"/>
        <w:outlineLvl w:val="1"/>
        <w:rPr>
          <w:rFonts w:eastAsia="楷体_GB2312"/>
          <w:b/>
          <w:bCs/>
          <w:color w:val="auto"/>
          <w:sz w:val="32"/>
          <w:szCs w:val="32"/>
          <w:highlight w:val="none"/>
        </w:rPr>
      </w:pPr>
      <w:bookmarkStart w:id="49" w:name="_Toc4124_WPSOffice_Level2"/>
      <w:r>
        <w:rPr>
          <w:rFonts w:eastAsia="楷体_GB2312"/>
          <w:b/>
          <w:bCs/>
          <w:color w:val="auto"/>
          <w:sz w:val="32"/>
          <w:szCs w:val="32"/>
          <w:highlight w:val="none"/>
        </w:rPr>
        <w:t>（二）推动社会协同治理</w:t>
      </w:r>
      <w:bookmarkEnd w:id="49"/>
    </w:p>
    <w:p>
      <w:pPr>
        <w:spacing w:line="580" w:lineRule="exact"/>
        <w:ind w:firstLine="640" w:firstLineChars="200"/>
        <w:rPr>
          <w:rFonts w:eastAsia="仿宋_GB2312"/>
          <w:color w:val="auto"/>
          <w:sz w:val="32"/>
          <w:szCs w:val="32"/>
          <w:highlight w:val="none"/>
        </w:rPr>
      </w:pPr>
      <w:r>
        <w:rPr>
          <w:rFonts w:eastAsia="仿宋_GB2312"/>
          <w:color w:val="auto"/>
          <w:sz w:val="32"/>
          <w:szCs w:val="32"/>
          <w:highlight w:val="none"/>
        </w:rPr>
        <w:t>建立企业安全生产信用评价制度，将企业安全生产违法信息记入信用记录。探索建立上市公司安全生产信息强制性披露机制。</w:t>
      </w:r>
      <w:r>
        <w:rPr>
          <w:rFonts w:hint="eastAsia" w:eastAsia="仿宋_GB2312"/>
          <w:color w:val="auto"/>
          <w:sz w:val="32"/>
          <w:szCs w:val="32"/>
          <w:highlight w:val="none"/>
        </w:rPr>
        <w:t>落实</w:t>
      </w:r>
      <w:r>
        <w:rPr>
          <w:rFonts w:eastAsia="仿宋_GB2312"/>
          <w:color w:val="auto"/>
          <w:sz w:val="32"/>
          <w:szCs w:val="32"/>
          <w:highlight w:val="none"/>
        </w:rPr>
        <w:t>安全绩效“领跑者”制度，采取荣誉表彰等激励措施推动企业实现更高标准的安全目标。引导社会资源投向先进</w:t>
      </w:r>
      <w:r>
        <w:rPr>
          <w:rFonts w:hint="eastAsia" w:eastAsia="仿宋_GB2312"/>
          <w:color w:val="auto"/>
          <w:sz w:val="32"/>
          <w:szCs w:val="32"/>
          <w:highlight w:val="none"/>
        </w:rPr>
        <w:t>、</w:t>
      </w:r>
      <w:r>
        <w:rPr>
          <w:rFonts w:eastAsia="仿宋_GB2312"/>
          <w:color w:val="auto"/>
          <w:sz w:val="32"/>
          <w:szCs w:val="32"/>
          <w:highlight w:val="none"/>
        </w:rPr>
        <w:t>适用、可靠的安全应急产品和服务，鼓励有条件地区培育特色鲜明的安全应急产业基地，积极发展安全生产技术咨询、系统设计</w:t>
      </w:r>
      <w:r>
        <w:rPr>
          <w:rFonts w:hint="eastAsia" w:eastAsia="仿宋_GB2312"/>
          <w:color w:val="auto"/>
          <w:sz w:val="32"/>
          <w:szCs w:val="32"/>
          <w:highlight w:val="none"/>
        </w:rPr>
        <w:t>、</w:t>
      </w:r>
      <w:r>
        <w:rPr>
          <w:rFonts w:eastAsia="仿宋_GB2312"/>
          <w:color w:val="auto"/>
          <w:sz w:val="32"/>
          <w:szCs w:val="32"/>
          <w:highlight w:val="none"/>
        </w:rPr>
        <w:t>设备制造</w:t>
      </w:r>
      <w:r>
        <w:rPr>
          <w:rFonts w:hint="eastAsia" w:eastAsia="仿宋_GB2312"/>
          <w:color w:val="auto"/>
          <w:sz w:val="32"/>
          <w:szCs w:val="32"/>
          <w:highlight w:val="none"/>
        </w:rPr>
        <w:t>、</w:t>
      </w:r>
      <w:r>
        <w:rPr>
          <w:rFonts w:eastAsia="仿宋_GB2312"/>
          <w:color w:val="auto"/>
          <w:sz w:val="32"/>
          <w:szCs w:val="32"/>
          <w:highlight w:val="none"/>
        </w:rPr>
        <w:t>工程施工</w:t>
      </w:r>
      <w:r>
        <w:rPr>
          <w:rFonts w:hint="eastAsia" w:eastAsia="仿宋_GB2312"/>
          <w:color w:val="auto"/>
          <w:sz w:val="32"/>
          <w:szCs w:val="32"/>
          <w:highlight w:val="none"/>
        </w:rPr>
        <w:t>、</w:t>
      </w:r>
      <w:r>
        <w:rPr>
          <w:rFonts w:eastAsia="仿宋_GB2312"/>
          <w:color w:val="auto"/>
          <w:sz w:val="32"/>
          <w:szCs w:val="32"/>
          <w:highlight w:val="none"/>
        </w:rPr>
        <w:t>运营管理等专业化服务。制定政府购买安全生产服务清单。鼓励协会、联合会、商会、慈善组织等社会组织参与安全生产工作。建立公众参与安全管理决策的有效渠道和合理机制，鼓励公众对政府安全生产工作、企业违法违规行为进行监督。</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市应急局监管科、执法支队</w:t>
      </w:r>
      <w:r>
        <w:rPr>
          <w:rFonts w:hint="eastAsia" w:ascii="楷体_GB2312" w:eastAsia="楷体_GB2312"/>
          <w:color w:val="auto"/>
          <w:sz w:val="32"/>
          <w:szCs w:val="32"/>
          <w:highlight w:val="none"/>
        </w:rPr>
        <w:t>牵头完善）</w:t>
      </w:r>
    </w:p>
    <w:p>
      <w:pPr>
        <w:spacing w:line="580" w:lineRule="exact"/>
        <w:ind w:firstLine="640" w:firstLineChars="200"/>
        <w:outlineLvl w:val="0"/>
        <w:rPr>
          <w:rFonts w:eastAsia="黑体"/>
          <w:color w:val="auto"/>
          <w:sz w:val="32"/>
          <w:szCs w:val="32"/>
          <w:highlight w:val="none"/>
        </w:rPr>
      </w:pPr>
      <w:bookmarkStart w:id="50" w:name="_Toc30653_WPSOffice_Level1"/>
      <w:r>
        <w:rPr>
          <w:rFonts w:eastAsia="黑体"/>
          <w:color w:val="auto"/>
          <w:sz w:val="32"/>
          <w:szCs w:val="32"/>
          <w:highlight w:val="none"/>
        </w:rPr>
        <w:t>十、实施安全提升重大工程</w:t>
      </w:r>
      <w:bookmarkEnd w:id="50"/>
    </w:p>
    <w:p>
      <w:pPr>
        <w:spacing w:line="580" w:lineRule="exact"/>
        <w:ind w:firstLine="642" w:firstLineChars="200"/>
        <w:outlineLvl w:val="1"/>
        <w:rPr>
          <w:rFonts w:eastAsia="楷体_GB2312"/>
          <w:b/>
          <w:bCs/>
          <w:color w:val="auto"/>
          <w:sz w:val="32"/>
          <w:szCs w:val="32"/>
          <w:highlight w:val="none"/>
        </w:rPr>
      </w:pPr>
      <w:bookmarkStart w:id="51" w:name="_Toc8523_WPSOffice_Level2"/>
      <w:r>
        <w:rPr>
          <w:rFonts w:eastAsia="楷体_GB2312"/>
          <w:b/>
          <w:bCs/>
          <w:color w:val="auto"/>
          <w:sz w:val="32"/>
          <w:szCs w:val="32"/>
          <w:highlight w:val="none"/>
        </w:rPr>
        <w:t>（一）风险防控基础提升工程</w:t>
      </w:r>
      <w:bookmarkEnd w:id="51"/>
    </w:p>
    <w:p>
      <w:pPr>
        <w:spacing w:line="580" w:lineRule="exact"/>
        <w:ind w:firstLine="640" w:firstLineChars="200"/>
        <w:rPr>
          <w:rFonts w:ascii="楷体_GB2312" w:eastAsia="楷体_GB2312"/>
          <w:color w:val="auto"/>
          <w:sz w:val="32"/>
          <w:szCs w:val="32"/>
          <w:highlight w:val="none"/>
        </w:rPr>
      </w:pPr>
      <w:r>
        <w:rPr>
          <w:rFonts w:eastAsia="仿宋_GB2312"/>
          <w:color w:val="auto"/>
          <w:sz w:val="32"/>
          <w:szCs w:val="32"/>
          <w:highlight w:val="none"/>
        </w:rPr>
        <w:t>实施化工园区和大型油气储存基地本质安全提升工程</w:t>
      </w:r>
      <w:r>
        <w:rPr>
          <w:rFonts w:hint="eastAsia" w:eastAsia="仿宋_GB2312"/>
          <w:color w:val="auto"/>
          <w:sz w:val="32"/>
          <w:szCs w:val="32"/>
          <w:highlight w:val="none"/>
          <w:lang w:eastAsia="zh-CN"/>
        </w:rPr>
        <w:t>，</w:t>
      </w:r>
      <w:r>
        <w:rPr>
          <w:rFonts w:eastAsia="仿宋_GB2312"/>
          <w:color w:val="auto"/>
          <w:sz w:val="32"/>
          <w:szCs w:val="32"/>
          <w:highlight w:val="none"/>
        </w:rPr>
        <w:t>持续实施安全仪表系统、自动化控制、工艺优化和技术更新改造。开展煤矿瓦斯综合治理和水害、火灾、冲击地压等重大灾害治理。全面完成尾矿“头顶库”治理。深化农村公路平交路口“一灯一带”工程和干线公路灾害防治工程，实施高速公路护栏提质升级工程。实施消防安全治理工程，开展行业消防安全标准化管理标杆建设、单位社区消防安全能力提升行动，开展企业专职消防队、乡镇政府专职消防队标准</w:t>
      </w:r>
      <w:r>
        <w:rPr>
          <w:rFonts w:eastAsia="仿宋_GB2312"/>
          <w:color w:val="auto"/>
          <w:sz w:val="32"/>
          <w:szCs w:val="32"/>
          <w:highlight w:val="none"/>
        </w:rPr>
        <w:t>化建设。</w:t>
      </w:r>
      <w:r>
        <w:rPr>
          <w:rFonts w:eastAsia="仿宋_GB2312"/>
          <w:color w:val="auto"/>
          <w:sz w:val="32"/>
          <w:szCs w:val="32"/>
          <w:highlight w:val="none"/>
        </w:rPr>
        <w:t>实施高层建筑、大型城市综合体、轨道交通、石油化工等重点场所消防系统改造，打通城镇消防“生命通道”。</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市应急局综合协调科</w:t>
      </w:r>
      <w:r>
        <w:rPr>
          <w:rFonts w:hint="eastAsia" w:ascii="楷体_GB2312" w:eastAsia="楷体_GB2312"/>
          <w:color w:val="auto"/>
          <w:sz w:val="32"/>
          <w:szCs w:val="32"/>
          <w:highlight w:val="none"/>
        </w:rPr>
        <w:t>牵头，各相关单位依据职责完善）</w:t>
      </w:r>
    </w:p>
    <w:p>
      <w:pPr>
        <w:spacing w:line="580" w:lineRule="exact"/>
        <w:ind w:firstLine="642" w:firstLineChars="200"/>
        <w:outlineLvl w:val="1"/>
        <w:rPr>
          <w:rFonts w:eastAsia="楷体_GB2312"/>
          <w:b/>
          <w:bCs/>
          <w:color w:val="auto"/>
          <w:sz w:val="32"/>
          <w:szCs w:val="32"/>
          <w:highlight w:val="none"/>
        </w:rPr>
      </w:pPr>
      <w:bookmarkStart w:id="52" w:name="_Toc28930_WPSOffice_Level2"/>
      <w:r>
        <w:rPr>
          <w:rFonts w:eastAsia="楷体_GB2312"/>
          <w:b/>
          <w:bCs/>
          <w:color w:val="auto"/>
          <w:sz w:val="32"/>
          <w:szCs w:val="32"/>
          <w:highlight w:val="none"/>
        </w:rPr>
        <w:t>（二）监管执法能力提升工程</w:t>
      </w:r>
      <w:bookmarkEnd w:id="52"/>
    </w:p>
    <w:p>
      <w:pPr>
        <w:spacing w:line="560" w:lineRule="exact"/>
        <w:ind w:firstLine="640" w:firstLineChars="200"/>
        <w:textAlignment w:val="auto"/>
        <w:rPr>
          <w:rFonts w:eastAsia="仿宋_GB2312"/>
          <w:color w:val="auto"/>
          <w:sz w:val="32"/>
          <w:szCs w:val="32"/>
          <w:highlight w:val="none"/>
        </w:rPr>
      </w:pPr>
      <w:r>
        <w:rPr>
          <w:rFonts w:eastAsia="仿宋_GB2312"/>
          <w:color w:val="auto"/>
          <w:sz w:val="32"/>
          <w:szCs w:val="32"/>
          <w:highlight w:val="none"/>
        </w:rPr>
        <w:t>根据各地区域特点和执法需求，合理确定各级负有安全生产监管监察职责的机构执法车辆配备类型和数量，补充更新执法车辆。补充更新各级安全生产监管监察机构、消防机构执法个体防护装备、执法制式服装和调查取证装备，建设完善执法装备库，重点增补执法过程管理、数据分析</w:t>
      </w:r>
      <w:r>
        <w:rPr>
          <w:rFonts w:hint="eastAsia" w:eastAsia="仿宋_GB2312"/>
          <w:color w:val="auto"/>
          <w:sz w:val="32"/>
          <w:szCs w:val="32"/>
          <w:highlight w:val="none"/>
        </w:rPr>
        <w:t>、</w:t>
      </w:r>
      <w:r>
        <w:rPr>
          <w:rFonts w:eastAsia="仿宋_GB2312"/>
          <w:color w:val="auto"/>
          <w:sz w:val="32"/>
          <w:szCs w:val="32"/>
          <w:highlight w:val="none"/>
        </w:rPr>
        <w:t>5G多功能综合执法等智能化专业装备，在特殊领城优先配备无人机</w:t>
      </w:r>
      <w:r>
        <w:rPr>
          <w:rFonts w:hint="eastAsia" w:eastAsia="仿宋_GB2312"/>
          <w:color w:val="auto"/>
          <w:sz w:val="32"/>
          <w:szCs w:val="32"/>
          <w:highlight w:val="none"/>
        </w:rPr>
        <w:t>、</w:t>
      </w:r>
      <w:r>
        <w:rPr>
          <w:rFonts w:eastAsia="仿宋_GB2312"/>
          <w:color w:val="auto"/>
          <w:sz w:val="32"/>
          <w:szCs w:val="32"/>
          <w:highlight w:val="none"/>
        </w:rPr>
        <w:t>机器人等高科技执法装备。建设完善基层安全生产监管监察机构业务保障用房和特殊业务用房，加强执法装备维护校验条件建设，完善计算存储网络、信息安全防护保障和智能运维等系统。全面汇聚行政许可。行政执法、监测预警、事故调查等数据资源，完善移动执法应用系统，实现执法大数据多维分析、自助式分析、可视化展示功能，</w:t>
      </w:r>
      <w:r>
        <w:rPr>
          <w:rFonts w:hint="eastAsia" w:ascii="仿宋" w:hAnsi="仿宋" w:eastAsia="仿宋" w:cs="仿宋"/>
          <w:color w:val="auto"/>
          <w:sz w:val="32"/>
          <w:szCs w:val="32"/>
          <w:highlight w:val="none"/>
        </w:rPr>
        <w:t>规范使用省、市安全生产执法信息平台，执法人员注册使用率达100%，行政处罚案件网上运行率达100%</w:t>
      </w:r>
      <w:r>
        <w:rPr>
          <w:rFonts w:hint="eastAsia" w:ascii="仿宋" w:hAnsi="仿宋" w:eastAsia="仿宋" w:cs="仿宋"/>
          <w:color w:val="auto"/>
          <w:sz w:val="32"/>
          <w:szCs w:val="32"/>
          <w:highlight w:val="none"/>
          <w:lang w:eastAsia="zh-CN"/>
        </w:rPr>
        <w:t>，</w:t>
      </w:r>
      <w:r>
        <w:rPr>
          <w:rFonts w:eastAsia="仿宋_GB2312"/>
          <w:color w:val="auto"/>
          <w:sz w:val="32"/>
          <w:szCs w:val="32"/>
          <w:highlight w:val="none"/>
        </w:rPr>
        <w:t>提升安全生产“互联网+监管执法”水平。</w:t>
      </w:r>
      <w:r>
        <w:rPr>
          <w:rFonts w:hint="eastAsia" w:ascii="仿宋_GB2312" w:hAnsi="仿宋_GB2312" w:eastAsia="仿宋_GB2312" w:cs="仿宋_GB2312"/>
          <w:color w:val="auto"/>
          <w:sz w:val="32"/>
          <w:szCs w:val="32"/>
          <w:highlight w:val="none"/>
        </w:rPr>
        <w:t>有计划对全市安全生产执法队伍进行轮训，执法人员入职培训不少于3个月，每年参加不少于2周复训。</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市应急管理局监管科、执法支队</w:t>
      </w:r>
      <w:r>
        <w:rPr>
          <w:rFonts w:hint="eastAsia" w:ascii="楷体_GB2312" w:eastAsia="楷体_GB2312"/>
          <w:color w:val="auto"/>
          <w:sz w:val="32"/>
          <w:szCs w:val="32"/>
          <w:highlight w:val="none"/>
        </w:rPr>
        <w:t>牵头完善）</w:t>
      </w:r>
    </w:p>
    <w:p>
      <w:pPr>
        <w:spacing w:line="580" w:lineRule="exact"/>
        <w:ind w:firstLine="642" w:firstLineChars="200"/>
        <w:outlineLvl w:val="1"/>
        <w:rPr>
          <w:rFonts w:eastAsia="楷体_GB2312"/>
          <w:b/>
          <w:bCs/>
          <w:color w:val="auto"/>
          <w:sz w:val="32"/>
          <w:szCs w:val="32"/>
          <w:highlight w:val="none"/>
        </w:rPr>
      </w:pPr>
      <w:bookmarkStart w:id="53" w:name="_Toc5037_WPSOffice_Level2"/>
      <w:r>
        <w:rPr>
          <w:rFonts w:eastAsia="楷体_GB2312"/>
          <w:b/>
          <w:bCs/>
          <w:color w:val="auto"/>
          <w:sz w:val="32"/>
          <w:szCs w:val="32"/>
          <w:highlight w:val="none"/>
        </w:rPr>
        <w:t>（三）监测预警能力提升工程</w:t>
      </w:r>
      <w:bookmarkEnd w:id="53"/>
    </w:p>
    <w:p>
      <w:pPr>
        <w:spacing w:line="580" w:lineRule="exact"/>
        <w:ind w:firstLine="640" w:firstLineChars="200"/>
        <w:rPr>
          <w:rFonts w:eastAsia="仿宋_GB2312"/>
          <w:color w:val="auto"/>
          <w:sz w:val="32"/>
          <w:szCs w:val="32"/>
          <w:highlight w:val="none"/>
        </w:rPr>
      </w:pPr>
      <w:r>
        <w:rPr>
          <w:rFonts w:hint="eastAsia" w:eastAsia="仿宋_GB2312"/>
          <w:color w:val="auto"/>
          <w:sz w:val="32"/>
          <w:szCs w:val="32"/>
          <w:highlight w:val="none"/>
          <w:lang w:eastAsia="zh-CN"/>
        </w:rPr>
        <w:t>按照省</w:t>
      </w:r>
      <w:r>
        <w:rPr>
          <w:rFonts w:eastAsia="仿宋_GB2312"/>
          <w:color w:val="auto"/>
          <w:sz w:val="32"/>
          <w:szCs w:val="32"/>
          <w:highlight w:val="none"/>
        </w:rPr>
        <w:t>级安全生产监管监察“互联网+执法”平台</w:t>
      </w:r>
      <w:r>
        <w:rPr>
          <w:rFonts w:hint="eastAsia" w:eastAsia="仿宋_GB2312"/>
          <w:color w:val="auto"/>
          <w:sz w:val="32"/>
          <w:szCs w:val="32"/>
          <w:highlight w:val="none"/>
          <w:lang w:eastAsia="zh-CN"/>
        </w:rPr>
        <w:t>，</w:t>
      </w:r>
      <w:r>
        <w:rPr>
          <w:rFonts w:eastAsia="仿宋_GB2312"/>
          <w:color w:val="auto"/>
          <w:sz w:val="32"/>
          <w:szCs w:val="32"/>
          <w:highlight w:val="none"/>
        </w:rPr>
        <w:t>建成危险化学品、烟花爆竹等高危行业企业以及油气管道等重点领域风险监测预警系统，构建全面覆盖的风险监测与感知数据“一张网”。完善全</w:t>
      </w:r>
      <w:r>
        <w:rPr>
          <w:rFonts w:hint="eastAsia" w:eastAsia="仿宋_GB2312"/>
          <w:color w:val="auto"/>
          <w:sz w:val="32"/>
          <w:szCs w:val="32"/>
          <w:highlight w:val="none"/>
          <w:lang w:eastAsia="zh-CN"/>
        </w:rPr>
        <w:t>市</w:t>
      </w:r>
      <w:r>
        <w:rPr>
          <w:rFonts w:eastAsia="仿宋_GB2312"/>
          <w:color w:val="auto"/>
          <w:sz w:val="32"/>
          <w:szCs w:val="32"/>
          <w:highlight w:val="none"/>
        </w:rPr>
        <w:t>危险化学品登记系统，构建涵盖生产、使用、运输、贮存、经营、废弃处置环节的危险化学品全生命周期信息监管平台。</w:t>
      </w:r>
      <w:r>
        <w:rPr>
          <w:rFonts w:hint="eastAsia" w:eastAsia="仿宋_GB2312"/>
          <w:color w:val="auto"/>
          <w:sz w:val="32"/>
          <w:szCs w:val="32"/>
          <w:highlight w:val="none"/>
          <w:lang w:eastAsia="zh-CN"/>
        </w:rPr>
        <w:t>积极配合做好</w:t>
      </w:r>
      <w:r>
        <w:rPr>
          <w:rFonts w:hint="eastAsia" w:eastAsia="仿宋_GB2312"/>
          <w:color w:val="auto"/>
          <w:sz w:val="32"/>
          <w:szCs w:val="32"/>
          <w:highlight w:val="none"/>
        </w:rPr>
        <w:t>全省</w:t>
      </w:r>
      <w:r>
        <w:rPr>
          <w:rFonts w:eastAsia="仿宋_GB2312"/>
          <w:color w:val="auto"/>
          <w:sz w:val="32"/>
          <w:szCs w:val="32"/>
          <w:highlight w:val="none"/>
        </w:rPr>
        <w:t>安全发展示范城市创建支撑管理信息化平台</w:t>
      </w:r>
      <w:r>
        <w:rPr>
          <w:rFonts w:hint="eastAsia" w:eastAsia="仿宋_GB2312"/>
          <w:color w:val="auto"/>
          <w:sz w:val="32"/>
          <w:szCs w:val="32"/>
          <w:highlight w:val="none"/>
          <w:lang w:eastAsia="zh-CN"/>
        </w:rPr>
        <w:t>建设</w:t>
      </w:r>
      <w:r>
        <w:rPr>
          <w:rFonts w:eastAsia="仿宋_GB2312"/>
          <w:color w:val="auto"/>
          <w:sz w:val="32"/>
          <w:szCs w:val="32"/>
          <w:highlight w:val="none"/>
        </w:rPr>
        <w:t>。</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市应急局监管科、执法支队</w:t>
      </w:r>
      <w:r>
        <w:rPr>
          <w:rFonts w:hint="eastAsia" w:ascii="楷体_GB2312" w:eastAsia="楷体_GB2312"/>
          <w:color w:val="auto"/>
          <w:sz w:val="32"/>
          <w:szCs w:val="32"/>
          <w:highlight w:val="none"/>
        </w:rPr>
        <w:t>牵头完善）</w:t>
      </w:r>
    </w:p>
    <w:p>
      <w:pPr>
        <w:spacing w:line="580" w:lineRule="exact"/>
        <w:ind w:firstLine="642" w:firstLineChars="200"/>
        <w:outlineLvl w:val="1"/>
        <w:rPr>
          <w:rFonts w:eastAsia="楷体_GB2312"/>
          <w:b/>
          <w:bCs/>
          <w:color w:val="auto"/>
          <w:sz w:val="32"/>
          <w:szCs w:val="32"/>
          <w:highlight w:val="none"/>
        </w:rPr>
      </w:pPr>
      <w:bookmarkStart w:id="54" w:name="_Toc1837_WPSOffice_Level2"/>
      <w:r>
        <w:rPr>
          <w:rFonts w:eastAsia="楷体_GB2312"/>
          <w:b/>
          <w:bCs/>
          <w:color w:val="auto"/>
          <w:sz w:val="32"/>
          <w:szCs w:val="32"/>
          <w:highlight w:val="none"/>
        </w:rPr>
        <w:t>（四）救援处置能力提升工程</w:t>
      </w:r>
      <w:bookmarkEnd w:id="54"/>
    </w:p>
    <w:p>
      <w:pPr>
        <w:spacing w:line="580" w:lineRule="exact"/>
        <w:ind w:firstLine="640" w:firstLineChars="200"/>
        <w:rPr>
          <w:rFonts w:ascii="楷体_GB2312" w:eastAsia="楷体_GB2312"/>
          <w:color w:val="auto"/>
          <w:sz w:val="32"/>
          <w:szCs w:val="32"/>
          <w:highlight w:val="none"/>
        </w:rPr>
      </w:pPr>
      <w:r>
        <w:rPr>
          <w:rFonts w:eastAsia="仿宋_GB2312"/>
          <w:color w:val="auto"/>
          <w:sz w:val="32"/>
          <w:szCs w:val="32"/>
          <w:highlight w:val="none"/>
        </w:rPr>
        <w:t>建设空天地一体化应急通信网络，优化</w:t>
      </w:r>
      <w:r>
        <w:rPr>
          <w:rFonts w:hint="eastAsia" w:eastAsia="仿宋_GB2312"/>
          <w:color w:val="auto"/>
          <w:sz w:val="32"/>
          <w:szCs w:val="32"/>
          <w:highlight w:val="none"/>
        </w:rPr>
        <w:t>升</w:t>
      </w:r>
      <w:r>
        <w:rPr>
          <w:rFonts w:eastAsia="仿宋_GB2312"/>
          <w:color w:val="auto"/>
          <w:sz w:val="32"/>
          <w:szCs w:val="32"/>
          <w:highlight w:val="none"/>
        </w:rPr>
        <w:t>级安全生产应急救援综合指挥平台和应急通信保障系统，完善重点行业领域和区域安全生产应急救援指挥决策调度平台。</w:t>
      </w:r>
      <w:r>
        <w:rPr>
          <w:rFonts w:hint="eastAsia" w:ascii="仿宋_GB2312" w:hAnsi="仿宋_GB2312" w:eastAsia="仿宋_GB2312" w:cs="仿宋_GB2312"/>
          <w:color w:val="auto"/>
          <w:sz w:val="32"/>
          <w:szCs w:val="32"/>
          <w:highlight w:val="none"/>
          <w:lang w:eastAsia="zh-CN"/>
        </w:rPr>
        <w:t>加强</w:t>
      </w:r>
      <w:r>
        <w:rPr>
          <w:rFonts w:hint="eastAsia" w:ascii="仿宋_GB2312" w:hAnsi="仿宋_GB2312" w:eastAsia="仿宋_GB2312" w:cs="仿宋_GB2312"/>
          <w:color w:val="auto"/>
          <w:sz w:val="32"/>
          <w:szCs w:val="32"/>
          <w:highlight w:val="none"/>
        </w:rPr>
        <w:t>道路抢险、建筑施工、交通运输等领域</w:t>
      </w:r>
      <w:r>
        <w:rPr>
          <w:rFonts w:eastAsia="仿宋_GB2312"/>
          <w:color w:val="auto"/>
          <w:sz w:val="32"/>
          <w:szCs w:val="32"/>
          <w:highlight w:val="none"/>
        </w:rPr>
        <w:t>应急救援力量</w:t>
      </w:r>
      <w:r>
        <w:rPr>
          <w:rFonts w:hint="eastAsia" w:eastAsia="仿宋_GB2312"/>
          <w:color w:val="auto"/>
          <w:sz w:val="32"/>
          <w:szCs w:val="32"/>
          <w:highlight w:val="none"/>
          <w:lang w:eastAsia="zh-CN"/>
        </w:rPr>
        <w:t>建设</w:t>
      </w:r>
      <w:r>
        <w:rPr>
          <w:rFonts w:eastAsia="仿宋_GB2312"/>
          <w:color w:val="auto"/>
          <w:sz w:val="32"/>
          <w:szCs w:val="32"/>
          <w:highlight w:val="none"/>
        </w:rPr>
        <w:t>，推进救援队伍装备补充升级和更新换代，提升安全生产应急救援队通信保障和远途作战后勤保障能力</w:t>
      </w:r>
      <w:r>
        <w:rPr>
          <w:rFonts w:hint="eastAsia" w:eastAsia="仿宋_GB2312"/>
          <w:color w:val="auto"/>
          <w:sz w:val="32"/>
          <w:szCs w:val="32"/>
          <w:highlight w:val="none"/>
          <w:lang w:eastAsia="zh-CN"/>
        </w:rPr>
        <w:t>，</w:t>
      </w:r>
      <w:r>
        <w:rPr>
          <w:rFonts w:eastAsia="仿宋_GB2312"/>
          <w:color w:val="auto"/>
          <w:sz w:val="32"/>
          <w:szCs w:val="32"/>
          <w:highlight w:val="none"/>
        </w:rPr>
        <w:t>建设</w:t>
      </w:r>
      <w:r>
        <w:rPr>
          <w:rFonts w:hint="eastAsia" w:eastAsia="仿宋_GB2312"/>
          <w:color w:val="auto"/>
          <w:sz w:val="32"/>
          <w:szCs w:val="32"/>
          <w:highlight w:val="none"/>
          <w:lang w:eastAsia="zh-CN"/>
        </w:rPr>
        <w:t>市</w:t>
      </w:r>
      <w:r>
        <w:rPr>
          <w:rFonts w:hint="eastAsia" w:eastAsia="仿宋_GB2312"/>
          <w:color w:val="auto"/>
          <w:sz w:val="32"/>
          <w:szCs w:val="32"/>
          <w:highlight w:val="none"/>
        </w:rPr>
        <w:t>级</w:t>
      </w:r>
      <w:r>
        <w:rPr>
          <w:rFonts w:eastAsia="仿宋_GB2312"/>
          <w:color w:val="auto"/>
          <w:sz w:val="32"/>
          <w:szCs w:val="32"/>
          <w:highlight w:val="none"/>
        </w:rPr>
        <w:t>综合应急实训演练基地。</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市应急局应急指挥中心</w:t>
      </w:r>
      <w:r>
        <w:rPr>
          <w:rFonts w:hint="eastAsia" w:ascii="楷体_GB2312" w:eastAsia="楷体_GB2312"/>
          <w:color w:val="auto"/>
          <w:sz w:val="32"/>
          <w:szCs w:val="32"/>
          <w:highlight w:val="none"/>
        </w:rPr>
        <w:t>牵头完善）</w:t>
      </w:r>
    </w:p>
    <w:p>
      <w:pPr>
        <w:spacing w:line="580" w:lineRule="exact"/>
        <w:ind w:firstLine="640" w:firstLineChars="200"/>
        <w:rPr>
          <w:rFonts w:hint="eastAsia" w:ascii="楷体_GB2312" w:eastAsia="楷体_GB2312"/>
          <w:color w:val="auto"/>
          <w:sz w:val="32"/>
          <w:szCs w:val="32"/>
          <w:highlight w:val="none"/>
          <w:lang w:eastAsia="zh-CN"/>
        </w:rPr>
      </w:pPr>
      <w:bookmarkStart w:id="55" w:name="_Toc10071_WPSOffice_Level2"/>
      <w:r>
        <w:rPr>
          <w:rFonts w:eastAsia="楷体_GB2312"/>
          <w:b w:val="0"/>
          <w:bCs w:val="0"/>
          <w:color w:val="auto"/>
          <w:sz w:val="32"/>
          <w:szCs w:val="32"/>
          <w:highlight w:val="none"/>
        </w:rPr>
        <w:t>（五）</w:t>
      </w:r>
      <w:r>
        <w:rPr>
          <w:rFonts w:hint="eastAsia" w:eastAsia="楷体_GB2312"/>
          <w:b w:val="0"/>
          <w:bCs w:val="0"/>
          <w:color w:val="auto"/>
          <w:sz w:val="32"/>
          <w:szCs w:val="32"/>
          <w:highlight w:val="none"/>
        </w:rPr>
        <w:t>实施安全文化精品</w:t>
      </w:r>
      <w:r>
        <w:rPr>
          <w:rFonts w:hint="eastAsia" w:eastAsia="楷体_GB2312"/>
          <w:b w:val="0"/>
          <w:bCs w:val="0"/>
          <w:color w:val="auto"/>
          <w:sz w:val="32"/>
          <w:szCs w:val="32"/>
          <w:highlight w:val="none"/>
          <w:lang w:eastAsia="zh-CN"/>
        </w:rPr>
        <w:t>建设工程。</w:t>
      </w:r>
      <w:r>
        <w:rPr>
          <w:rFonts w:hint="eastAsia" w:eastAsia="仿宋_GB2312"/>
          <w:color w:val="auto"/>
          <w:sz w:val="32"/>
          <w:szCs w:val="32"/>
          <w:highlight w:val="none"/>
        </w:rPr>
        <w:t>创新安全生产文化服务方式和手段，开发安全宣传教材、读物、动漫、游戏、视频等文化产品，发展壮大安全文化产业。推进和引导生产安全体验场馆（基地）建设，开展安全生产科技、知识、应急避险体验活动，广泛开展面向社会公众的安全知识宣传、自救互救技能培训和安全应急演练，提升公民安全防范意识，提高公民风险自救互救能力。</w:t>
      </w:r>
      <w:bookmarkEnd w:id="55"/>
      <w:r>
        <w:rPr>
          <w:rFonts w:hint="eastAsia" w:eastAsia="楷体_GB2312"/>
          <w:b w:val="0"/>
          <w:bCs w:val="0"/>
          <w:color w:val="auto"/>
          <w:sz w:val="32"/>
          <w:szCs w:val="32"/>
          <w:highlight w:val="none"/>
          <w:lang w:eastAsia="zh-CN"/>
        </w:rPr>
        <w:t>（市应急局办公室牵头，其他有关单位配合）</w:t>
      </w:r>
    </w:p>
    <w:p>
      <w:pPr>
        <w:pStyle w:val="4"/>
        <w:ind w:firstLine="643"/>
        <w:rPr>
          <w:rFonts w:hint="eastAsia" w:ascii="Times New Roman" w:hAnsi="Times New Roman" w:eastAsia="仿宋_GB2312" w:cs="Times New Roman"/>
          <w:b w:val="0"/>
          <w:bCs w:val="0"/>
          <w:color w:val="auto"/>
          <w:kern w:val="2"/>
          <w:sz w:val="32"/>
          <w:szCs w:val="32"/>
          <w:highlight w:val="none"/>
          <w:lang w:val="en-US" w:eastAsia="zh-CN" w:bidi="ar-SA"/>
        </w:rPr>
      </w:pPr>
      <w:bookmarkStart w:id="56" w:name="_Toc28488_WPSOffice_Level2"/>
      <w:r>
        <w:rPr>
          <w:rFonts w:ascii="Times New Roman" w:hAnsi="Times New Roman" w:eastAsia="楷体_GB2312" w:cs="Times New Roman"/>
          <w:b w:val="0"/>
          <w:bCs w:val="0"/>
          <w:color w:val="auto"/>
          <w:kern w:val="2"/>
          <w:sz w:val="32"/>
          <w:szCs w:val="32"/>
          <w:highlight w:val="none"/>
          <w:lang w:val="en-US" w:eastAsia="zh-CN" w:bidi="ar-SA"/>
        </w:rPr>
        <w:t>（六</w:t>
      </w:r>
      <w:r>
        <w:rPr>
          <w:rFonts w:ascii="Times New Roman" w:hAnsi="Times New Roman" w:eastAsia="楷体_GB2312" w:cs="Times New Roman"/>
          <w:b w:val="0"/>
          <w:bCs w:val="0"/>
          <w:color w:val="auto"/>
          <w:kern w:val="2"/>
          <w:sz w:val="32"/>
          <w:szCs w:val="32"/>
          <w:highlight w:val="none"/>
          <w:lang w:val="en-US" w:eastAsia="zh-CN" w:bidi="ar-SA"/>
        </w:rPr>
        <w:t>）</w:t>
      </w:r>
      <w:bookmarkEnd w:id="56"/>
      <w:r>
        <w:rPr>
          <w:rFonts w:hint="eastAsia" w:ascii="Times New Roman" w:hAnsi="Times New Roman" w:eastAsia="楷体_GB2312" w:cs="Times New Roman"/>
          <w:b w:val="0"/>
          <w:bCs w:val="0"/>
          <w:color w:val="auto"/>
          <w:kern w:val="2"/>
          <w:sz w:val="32"/>
          <w:szCs w:val="32"/>
          <w:highlight w:val="none"/>
          <w:lang w:val="en-US" w:eastAsia="zh-CN" w:bidi="ar-SA"/>
        </w:rPr>
        <w:t>安全发展示范城市建设工程。</w:t>
      </w:r>
      <w:r>
        <w:rPr>
          <w:rFonts w:hint="eastAsia" w:ascii="Times New Roman" w:hAnsi="Times New Roman" w:eastAsia="仿宋_GB2312" w:cs="Times New Roman"/>
          <w:b w:val="0"/>
          <w:bCs w:val="0"/>
          <w:color w:val="auto"/>
          <w:kern w:val="2"/>
          <w:sz w:val="32"/>
          <w:szCs w:val="32"/>
          <w:highlight w:val="none"/>
          <w:lang w:val="en-US" w:eastAsia="zh-CN" w:bidi="ar-SA"/>
        </w:rPr>
        <w:t>开展安全发展示范城市创建，充分发挥示范引领作用。推进韧性城市建设，提高城市在应对重特大事故灾难后的恢复能力。推动各开展城市安全生产与自然灾害风险一体化的排查，编制城市安全发展评估报告及白皮书。推进城市电力、燃气、供水、排水管网和桥梁等城市生命线监测预警建设，制定采取针对性强的防控措施，防止产生系统性的重大安全风险。（市城市管理局牵头完善）</w:t>
      </w:r>
    </w:p>
    <w:p>
      <w:pPr>
        <w:spacing w:line="580" w:lineRule="exact"/>
        <w:ind w:firstLine="640" w:firstLineChars="200"/>
        <w:outlineLvl w:val="0"/>
        <w:rPr>
          <w:rFonts w:eastAsia="黑体"/>
          <w:color w:val="auto"/>
          <w:sz w:val="32"/>
          <w:szCs w:val="32"/>
          <w:highlight w:val="none"/>
        </w:rPr>
      </w:pPr>
      <w:bookmarkStart w:id="57" w:name="_Toc22849_WPSOffice_Level1"/>
      <w:r>
        <w:rPr>
          <w:rFonts w:eastAsia="黑体"/>
          <w:color w:val="auto"/>
          <w:sz w:val="32"/>
          <w:szCs w:val="32"/>
          <w:highlight w:val="none"/>
        </w:rPr>
        <w:t>十一、健全规划实施保障措施</w:t>
      </w:r>
      <w:bookmarkEnd w:id="57"/>
    </w:p>
    <w:p>
      <w:pPr>
        <w:spacing w:line="580" w:lineRule="exact"/>
        <w:ind w:firstLine="642" w:firstLineChars="200"/>
        <w:outlineLvl w:val="1"/>
        <w:rPr>
          <w:rFonts w:eastAsia="楷体_GB2312"/>
          <w:b/>
          <w:bCs/>
          <w:color w:val="auto"/>
          <w:sz w:val="32"/>
          <w:szCs w:val="32"/>
          <w:highlight w:val="none"/>
        </w:rPr>
      </w:pPr>
      <w:bookmarkStart w:id="58" w:name="_Toc5338_WPSOffice_Level2"/>
      <w:r>
        <w:rPr>
          <w:rFonts w:eastAsia="楷体_GB2312"/>
          <w:b/>
          <w:bCs/>
          <w:color w:val="auto"/>
          <w:sz w:val="32"/>
          <w:szCs w:val="32"/>
          <w:highlight w:val="none"/>
        </w:rPr>
        <w:t>（一）明确任务分工</w:t>
      </w:r>
      <w:bookmarkEnd w:id="58"/>
    </w:p>
    <w:p>
      <w:pPr>
        <w:spacing w:line="580" w:lineRule="exact"/>
        <w:ind w:firstLine="640" w:firstLineChars="200"/>
        <w:rPr>
          <w:rFonts w:ascii="楷体_GB2312" w:eastAsia="楷体_GB2312"/>
          <w:color w:val="auto"/>
          <w:sz w:val="32"/>
          <w:szCs w:val="32"/>
          <w:highlight w:val="none"/>
        </w:rPr>
      </w:pPr>
      <w:r>
        <w:rPr>
          <w:rFonts w:hint="eastAsia" w:eastAsia="仿宋_GB2312"/>
          <w:color w:val="auto"/>
          <w:sz w:val="32"/>
          <w:szCs w:val="32"/>
          <w:highlight w:val="none"/>
        </w:rPr>
        <w:t>各</w:t>
      </w:r>
      <w:r>
        <w:rPr>
          <w:rFonts w:hint="eastAsia" w:eastAsia="仿宋_GB2312"/>
          <w:color w:val="auto"/>
          <w:sz w:val="32"/>
          <w:szCs w:val="32"/>
          <w:highlight w:val="none"/>
          <w:lang w:eastAsia="zh-CN"/>
        </w:rPr>
        <w:t>县区</w:t>
      </w:r>
      <w:r>
        <w:rPr>
          <w:rFonts w:eastAsia="仿宋_GB2312"/>
          <w:color w:val="auto"/>
          <w:sz w:val="32"/>
          <w:szCs w:val="32"/>
          <w:highlight w:val="none"/>
        </w:rPr>
        <w:t>人民政府</w:t>
      </w:r>
      <w:r>
        <w:rPr>
          <w:rFonts w:hint="eastAsia" w:eastAsia="仿宋_GB2312"/>
          <w:color w:val="auto"/>
          <w:sz w:val="32"/>
          <w:szCs w:val="32"/>
          <w:highlight w:val="none"/>
          <w:lang w:eastAsia="zh-CN"/>
        </w:rPr>
        <w:t>、亳州高新区管委会，亳芜现代产业园区管委会</w:t>
      </w:r>
      <w:r>
        <w:rPr>
          <w:rFonts w:eastAsia="仿宋_GB2312"/>
          <w:color w:val="auto"/>
          <w:sz w:val="32"/>
          <w:szCs w:val="32"/>
          <w:highlight w:val="none"/>
        </w:rPr>
        <w:t>要根据本规划确定的发展目标和主要任务，将安全生产工作纳入重要议事日程，制定并公布安全生产重点任务和年度目标。各地区、各部门要积极制定规划实施方案，细化落实规划的任务分工和进度安排，明确各部门相关责任。推动建立安全监管协作机制，定期研究解决重大问题。推动各地区安全生产规划实施情况信息公开，鼓励全社会参与和监督，确保各项任务全面完成。</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市应急管理局综合协调科</w:t>
      </w:r>
      <w:r>
        <w:rPr>
          <w:rFonts w:hint="eastAsia" w:ascii="楷体_GB2312" w:eastAsia="楷体_GB2312"/>
          <w:color w:val="auto"/>
          <w:sz w:val="32"/>
          <w:szCs w:val="32"/>
          <w:highlight w:val="none"/>
        </w:rPr>
        <w:t>牵头完善）</w:t>
      </w:r>
    </w:p>
    <w:p>
      <w:pPr>
        <w:spacing w:line="580" w:lineRule="exact"/>
        <w:ind w:firstLine="642" w:firstLineChars="200"/>
        <w:outlineLvl w:val="1"/>
        <w:rPr>
          <w:rFonts w:eastAsia="楷体_GB2312"/>
          <w:b/>
          <w:bCs/>
          <w:color w:val="auto"/>
          <w:sz w:val="32"/>
          <w:szCs w:val="32"/>
          <w:highlight w:val="none"/>
        </w:rPr>
      </w:pPr>
      <w:bookmarkStart w:id="59" w:name="_Toc2017_WPSOffice_Level2"/>
      <w:r>
        <w:rPr>
          <w:rFonts w:eastAsia="楷体_GB2312"/>
          <w:b/>
          <w:bCs/>
          <w:color w:val="auto"/>
          <w:sz w:val="32"/>
          <w:szCs w:val="32"/>
          <w:highlight w:val="none"/>
        </w:rPr>
        <w:t>（二）加大政策支持</w:t>
      </w:r>
      <w:bookmarkEnd w:id="59"/>
    </w:p>
    <w:p>
      <w:pPr>
        <w:spacing w:line="580" w:lineRule="exact"/>
        <w:ind w:firstLine="640" w:firstLineChars="200"/>
        <w:rPr>
          <w:rFonts w:eastAsia="仿宋_GB2312"/>
          <w:color w:val="auto"/>
          <w:sz w:val="32"/>
          <w:szCs w:val="32"/>
          <w:highlight w:val="none"/>
        </w:rPr>
      </w:pPr>
      <w:r>
        <w:rPr>
          <w:rFonts w:eastAsia="仿宋_GB2312"/>
          <w:color w:val="auto"/>
          <w:sz w:val="32"/>
          <w:szCs w:val="32"/>
          <w:highlight w:val="none"/>
        </w:rPr>
        <w:t>按照安全生产工作中央与地方财政事权和支出责任划分规定，健全完善财政支持安全生产政策，强化中央和地方财政经费保障，优化安全生产支出结构</w:t>
      </w:r>
      <w:r>
        <w:rPr>
          <w:rFonts w:hint="eastAsia" w:eastAsia="仿宋_GB2312"/>
          <w:color w:val="auto"/>
          <w:sz w:val="32"/>
          <w:szCs w:val="32"/>
          <w:highlight w:val="none"/>
        </w:rPr>
        <w:t>；</w:t>
      </w:r>
      <w:r>
        <w:rPr>
          <w:rFonts w:eastAsia="仿宋_GB2312"/>
          <w:color w:val="auto"/>
          <w:sz w:val="32"/>
          <w:szCs w:val="32"/>
          <w:highlight w:val="none"/>
        </w:rPr>
        <w:t>集中力量办大事，向重点行业领域风险防控、事故隐患消除工作倾斜。实行全面预算绩效管理，加强绩效评价，强化审计监督，把安全生产财政资金管好用好。完善企业安全生产费用提取和使用制度，健全监管与审计机制。鼓励创业投资企业、股权投资企业和社会捐赠资金增加安全生产公益性投入。鼓励企业投保安全生产责任保险，充分发挥保险的风险控制和事故预防作用，探索建立监管部门、行业组织、保险机构和企业多方参与的激励约束机制和风险防控机制。</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市财政局</w:t>
      </w:r>
      <w:r>
        <w:rPr>
          <w:rFonts w:hint="eastAsia" w:ascii="楷体_GB2312" w:eastAsia="楷体_GB2312"/>
          <w:color w:val="auto"/>
          <w:sz w:val="32"/>
          <w:szCs w:val="32"/>
          <w:highlight w:val="none"/>
        </w:rPr>
        <w:t>依据职责完善）</w:t>
      </w:r>
    </w:p>
    <w:p>
      <w:pPr>
        <w:spacing w:line="580" w:lineRule="exact"/>
        <w:ind w:firstLine="642" w:firstLineChars="200"/>
        <w:outlineLvl w:val="1"/>
        <w:rPr>
          <w:rFonts w:eastAsia="楷体_GB2312"/>
          <w:b/>
          <w:bCs/>
          <w:color w:val="auto"/>
          <w:sz w:val="32"/>
          <w:szCs w:val="32"/>
          <w:highlight w:val="none"/>
        </w:rPr>
      </w:pPr>
      <w:bookmarkStart w:id="60" w:name="_Toc12230_WPSOffice_Level2"/>
      <w:r>
        <w:rPr>
          <w:rFonts w:eastAsia="楷体_GB2312"/>
          <w:b/>
          <w:bCs/>
          <w:color w:val="auto"/>
          <w:sz w:val="32"/>
          <w:szCs w:val="32"/>
          <w:highlight w:val="none"/>
        </w:rPr>
        <w:t>（三）推进试点示范</w:t>
      </w:r>
      <w:bookmarkEnd w:id="60"/>
    </w:p>
    <w:p>
      <w:pPr>
        <w:spacing w:line="580" w:lineRule="exact"/>
        <w:ind w:firstLine="640" w:firstLineChars="200"/>
        <w:rPr>
          <w:rFonts w:eastAsia="仿宋_GB2312"/>
          <w:color w:val="auto"/>
          <w:sz w:val="32"/>
          <w:szCs w:val="32"/>
          <w:highlight w:val="none"/>
        </w:rPr>
      </w:pPr>
      <w:r>
        <w:rPr>
          <w:rFonts w:eastAsia="仿宋_GB2312"/>
          <w:color w:val="auto"/>
          <w:sz w:val="32"/>
          <w:szCs w:val="32"/>
          <w:highlight w:val="none"/>
        </w:rPr>
        <w:t>以改善安全状况、推动安全</w:t>
      </w:r>
      <w:r>
        <w:rPr>
          <w:rFonts w:ascii="仿宋_GB2312" w:hAnsi="仿宋_GB2312" w:eastAsia="仿宋_GB2312" w:cs="仿宋_GB2312"/>
          <w:color w:val="auto"/>
          <w:sz w:val="32"/>
          <w:szCs w:val="32"/>
          <w:highlight w:val="none"/>
        </w:rPr>
        <w:t>发展为目标，以体制创新、制度供</w:t>
      </w:r>
      <w:r>
        <w:rPr>
          <w:rFonts w:hint="eastAsia" w:ascii="仿宋_GB2312" w:hAnsi="仿宋_GB2312" w:eastAsia="仿宋_GB2312" w:cs="仿宋_GB2312"/>
          <w:color w:val="auto"/>
          <w:sz w:val="32"/>
          <w:szCs w:val="32"/>
          <w:highlight w:val="none"/>
        </w:rPr>
        <w:t>给、模式探索为重点，推进国家安全发展示范城市创建。积极推进安全社区、平安校园、安全</w:t>
      </w:r>
      <w:r>
        <w:rPr>
          <w:rFonts w:ascii="仿宋_GB2312" w:hAnsi="仿宋_GB2312" w:eastAsia="仿宋_GB2312" w:cs="仿宋_GB2312"/>
          <w:color w:val="auto"/>
          <w:sz w:val="32"/>
          <w:szCs w:val="32"/>
          <w:highlight w:val="none"/>
        </w:rPr>
        <w:t>生产标准化企业</w:t>
      </w:r>
      <w:r>
        <w:rPr>
          <w:rFonts w:eastAsia="仿宋_GB2312"/>
          <w:color w:val="auto"/>
          <w:sz w:val="32"/>
          <w:szCs w:val="32"/>
          <w:highlight w:val="none"/>
        </w:rPr>
        <w:t>等建设。实施安全应急装备应用试点工程，加快先进安全应急装备科研成果工程化应用。推动国家安全发展示范城市率先建成较为完善的安全治理制度体系，形成若干可操作、有效管用、可复制推广的安全生产重大制度成果。</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市应急局综合协调科</w:t>
      </w:r>
      <w:r>
        <w:rPr>
          <w:rFonts w:hint="eastAsia" w:ascii="楷体_GB2312" w:eastAsia="楷体_GB2312"/>
          <w:color w:val="auto"/>
          <w:sz w:val="32"/>
          <w:szCs w:val="32"/>
          <w:highlight w:val="none"/>
        </w:rPr>
        <w:t>牵头完善）</w:t>
      </w:r>
    </w:p>
    <w:p>
      <w:pPr>
        <w:spacing w:line="580" w:lineRule="exact"/>
        <w:ind w:firstLine="642" w:firstLineChars="200"/>
        <w:outlineLvl w:val="1"/>
        <w:rPr>
          <w:rFonts w:eastAsia="楷体_GB2312"/>
          <w:b/>
          <w:bCs/>
          <w:color w:val="auto"/>
          <w:sz w:val="32"/>
          <w:szCs w:val="32"/>
          <w:highlight w:val="none"/>
        </w:rPr>
      </w:pPr>
      <w:bookmarkStart w:id="61" w:name="_Toc28830_WPSOffice_Level2"/>
      <w:r>
        <w:rPr>
          <w:rFonts w:eastAsia="楷体_GB2312"/>
          <w:b/>
          <w:bCs/>
          <w:color w:val="auto"/>
          <w:sz w:val="32"/>
          <w:szCs w:val="32"/>
          <w:highlight w:val="none"/>
        </w:rPr>
        <w:t>（四）强化考核评估</w:t>
      </w:r>
      <w:bookmarkEnd w:id="61"/>
    </w:p>
    <w:p>
      <w:pPr>
        <w:spacing w:line="580" w:lineRule="exact"/>
        <w:ind w:firstLine="640" w:firstLineChars="200"/>
        <w:rPr>
          <w:rFonts w:eastAsia="仿宋_GB2312"/>
          <w:color w:val="auto"/>
          <w:sz w:val="32"/>
          <w:szCs w:val="32"/>
          <w:highlight w:val="none"/>
        </w:rPr>
      </w:pPr>
      <w:r>
        <w:rPr>
          <w:rFonts w:eastAsia="仿宋_GB2312"/>
          <w:color w:val="auto"/>
          <w:sz w:val="32"/>
          <w:szCs w:val="32"/>
          <w:highlight w:val="none"/>
        </w:rPr>
        <w:t>健全各级安全生产委员会成员单位协同配合、信息通报、形势会商、风险交流、协调联动等制度机制，统筹协调。监督指导各成员单位落实安全职责，加大督查考评力度，形成监管合力。</w:t>
      </w:r>
      <w:r>
        <w:rPr>
          <w:rFonts w:hint="eastAsia" w:eastAsia="仿宋_GB2312"/>
          <w:color w:val="auto"/>
          <w:sz w:val="32"/>
          <w:szCs w:val="32"/>
          <w:highlight w:val="none"/>
          <w:lang w:eastAsia="zh-CN"/>
        </w:rPr>
        <w:t>市</w:t>
      </w:r>
      <w:r>
        <w:rPr>
          <w:rFonts w:eastAsia="仿宋_GB2312"/>
          <w:color w:val="auto"/>
          <w:sz w:val="32"/>
          <w:szCs w:val="32"/>
          <w:highlight w:val="none"/>
        </w:rPr>
        <w:t>安全生产委员会将定期对各</w:t>
      </w:r>
      <w:r>
        <w:rPr>
          <w:rFonts w:hint="eastAsia" w:eastAsia="仿宋_GB2312"/>
          <w:color w:val="auto"/>
          <w:sz w:val="32"/>
          <w:szCs w:val="32"/>
          <w:highlight w:val="none"/>
          <w:lang w:eastAsia="zh-CN"/>
        </w:rPr>
        <w:t>县区</w:t>
      </w:r>
      <w:r>
        <w:rPr>
          <w:rFonts w:eastAsia="仿宋_GB2312"/>
          <w:color w:val="auto"/>
          <w:sz w:val="32"/>
          <w:szCs w:val="32"/>
          <w:highlight w:val="none"/>
        </w:rPr>
        <w:t>级人民政府安全生产状况、重大安全风险防控、安全生产重大工程进展等情况进行监测调度。在2023年、2025年底，分别对本规划执行情况进行中期评估和终期考核，评估考核结果向规划审批部门报告，向社会公布。</w:t>
      </w:r>
      <w:r>
        <w:rPr>
          <w:rFonts w:hint="eastAsia" w:ascii="楷体_GB2312" w:eastAsia="楷体_GB2312"/>
          <w:color w:val="auto"/>
          <w:sz w:val="32"/>
          <w:szCs w:val="32"/>
          <w:highlight w:val="none"/>
        </w:rPr>
        <w:t>（</w:t>
      </w:r>
      <w:r>
        <w:rPr>
          <w:rFonts w:hint="eastAsia" w:ascii="楷体_GB2312" w:eastAsia="楷体_GB2312"/>
          <w:color w:val="auto"/>
          <w:sz w:val="32"/>
          <w:szCs w:val="32"/>
          <w:highlight w:val="none"/>
          <w:lang w:eastAsia="zh-CN"/>
        </w:rPr>
        <w:t>市应急局综合协调科</w:t>
      </w:r>
      <w:r>
        <w:rPr>
          <w:rFonts w:hint="eastAsia" w:ascii="楷体_GB2312" w:eastAsia="楷体_GB2312"/>
          <w:color w:val="auto"/>
          <w:sz w:val="32"/>
          <w:szCs w:val="32"/>
          <w:highlight w:val="none"/>
        </w:rPr>
        <w:t>牵头完善）</w:t>
      </w:r>
    </w:p>
    <w:bookmarkEnd w:id="13"/>
    <w:p>
      <w:pPr>
        <w:spacing w:line="560" w:lineRule="exact"/>
        <w:ind w:firstLine="640" w:firstLineChars="200"/>
        <w:rPr>
          <w:rFonts w:eastAsia="仿宋_GB2312"/>
          <w:color w:val="auto"/>
          <w:sz w:val="32"/>
          <w:szCs w:val="32"/>
          <w:highlight w:val="none"/>
        </w:rPr>
      </w:pPr>
    </w:p>
    <w:p>
      <w:pPr>
        <w:rPr>
          <w:rFonts w:hint="eastAsia" w:ascii="仿宋_GB2312" w:eastAsia="仿宋_GB2312"/>
          <w:color w:val="auto"/>
          <w:sz w:val="32"/>
          <w:szCs w:val="32"/>
          <w:highlight w:val="none"/>
        </w:rPr>
      </w:pPr>
    </w:p>
    <w:p>
      <w:pPr>
        <w:rPr>
          <w:rFonts w:hint="eastAsia" w:ascii="仿宋_GB2312" w:eastAsia="仿宋_GB2312"/>
          <w:color w:val="auto"/>
          <w:sz w:val="32"/>
          <w:szCs w:val="32"/>
          <w:highlight w:val="none"/>
        </w:rPr>
      </w:pPr>
    </w:p>
    <w:p>
      <w:pPr>
        <w:rPr>
          <w:rFonts w:hint="eastAsia" w:ascii="仿宋_GB2312" w:eastAsia="仿宋_GB2312"/>
          <w:color w:val="auto"/>
          <w:sz w:val="32"/>
          <w:szCs w:val="32"/>
          <w:highlight w:val="none"/>
        </w:rPr>
      </w:pPr>
    </w:p>
    <w:p>
      <w:pPr>
        <w:rPr>
          <w:rFonts w:hint="eastAsia" w:ascii="仿宋_GB2312" w:eastAsia="仿宋_GB2312"/>
          <w:color w:val="auto"/>
          <w:sz w:val="32"/>
          <w:szCs w:val="32"/>
          <w:highlight w:val="none"/>
        </w:rPr>
      </w:pPr>
    </w:p>
    <w:p>
      <w:pPr>
        <w:rPr>
          <w:rFonts w:hint="eastAsia" w:ascii="仿宋_GB2312" w:eastAsia="仿宋_GB2312"/>
          <w:color w:val="auto"/>
          <w:sz w:val="32"/>
          <w:szCs w:val="32"/>
          <w:highlight w:val="none"/>
        </w:rPr>
      </w:pPr>
    </w:p>
    <w:p>
      <w:pPr>
        <w:rPr>
          <w:rFonts w:hint="eastAsia" w:ascii="仿宋_GB2312" w:eastAsia="仿宋_GB2312"/>
          <w:color w:val="auto"/>
          <w:sz w:val="32"/>
          <w:szCs w:val="32"/>
          <w:highlight w:val="none"/>
        </w:rPr>
      </w:pPr>
    </w:p>
    <w:p>
      <w:pPr>
        <w:rPr>
          <w:rFonts w:hint="eastAsia" w:ascii="仿宋_GB2312" w:eastAsia="仿宋_GB2312"/>
          <w:color w:val="auto"/>
          <w:sz w:val="32"/>
          <w:szCs w:val="32"/>
          <w:highlight w:val="none"/>
        </w:rPr>
      </w:pPr>
    </w:p>
    <w:p>
      <w:pPr>
        <w:rPr>
          <w:rFonts w:hint="eastAsia" w:ascii="仿宋_GB2312" w:eastAsia="仿宋_GB2312"/>
          <w:color w:val="auto"/>
          <w:sz w:val="32"/>
          <w:szCs w:val="32"/>
          <w:highlight w:val="none"/>
        </w:rPr>
      </w:pPr>
    </w:p>
    <w:p>
      <w:pPr>
        <w:rPr>
          <w:rFonts w:hint="eastAsia" w:ascii="仿宋_GB2312" w:eastAsia="仿宋_GB2312"/>
          <w:color w:val="auto"/>
          <w:sz w:val="32"/>
          <w:szCs w:val="32"/>
          <w:highlight w:val="none"/>
        </w:rPr>
      </w:pPr>
    </w:p>
    <w:p>
      <w:pPr>
        <w:spacing w:line="580" w:lineRule="exact"/>
        <w:rPr>
          <w:rFonts w:hint="eastAsia" w:ascii="仿宋_GB2312"/>
          <w:color w:val="auto"/>
          <w:sz w:val="32"/>
          <w:szCs w:val="32"/>
          <w:highlight w:val="none"/>
        </w:rPr>
      </w:pPr>
    </w:p>
    <w:p>
      <w:pPr>
        <w:spacing w:line="580" w:lineRule="exact"/>
        <w:rPr>
          <w:rFonts w:hint="eastAsia" w:ascii="仿宋_GB2312"/>
          <w:color w:val="auto"/>
          <w:sz w:val="32"/>
          <w:szCs w:val="32"/>
          <w:highlight w:val="none"/>
        </w:rPr>
      </w:pPr>
    </w:p>
    <w:p>
      <w:pPr>
        <w:spacing w:line="580" w:lineRule="exact"/>
        <w:rPr>
          <w:rFonts w:hint="eastAsia" w:ascii="仿宋_GB2312"/>
          <w:color w:val="auto"/>
          <w:sz w:val="32"/>
          <w:szCs w:val="32"/>
          <w:highlight w:val="none"/>
        </w:rPr>
      </w:pPr>
    </w:p>
    <w:p>
      <w:pPr>
        <w:spacing w:line="580" w:lineRule="exact"/>
        <w:rPr>
          <w:rFonts w:hint="eastAsia" w:ascii="仿宋_GB2312"/>
          <w:color w:val="auto"/>
          <w:sz w:val="32"/>
          <w:szCs w:val="32"/>
          <w:highlight w:val="none"/>
        </w:rPr>
      </w:pPr>
    </w:p>
    <w:p>
      <w:pPr>
        <w:rPr>
          <w:color w:val="auto"/>
          <w:highlight w:val="none"/>
        </w:rPr>
      </w:pPr>
      <w:bookmarkStart w:id="62" w:name="_GoBack"/>
      <w:bookmarkEnd w:id="62"/>
    </w:p>
    <w:sectPr>
      <w:footerReference r:id="rId6" w:type="first"/>
      <w:footerReference r:id="rId4" w:type="default"/>
      <w:footerReference r:id="rId5" w:type="even"/>
      <w:pgSz w:w="11906" w:h="16838"/>
      <w:pgMar w:top="2098" w:right="1474" w:bottom="1814" w:left="1588" w:header="851" w:footer="1418"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等线">
    <w:altName w:val="华文仿宋"/>
    <w:panose1 w:val="02010600030101010101"/>
    <w:charset w:val="86"/>
    <w:family w:val="auto"/>
    <w:pitch w:val="default"/>
    <w:sig w:usb0="00000000" w:usb1="00000000" w:usb2="00000016" w:usb3="00000000" w:csb0="0004000F" w:csb1="00000000"/>
  </w:font>
  <w:font w:name="等线 Light">
    <w:altName w:val="华文仿宋"/>
    <w:panose1 w:val="02010600030101010101"/>
    <w:charset w:val="86"/>
    <w:family w:val="auto"/>
    <w:pitch w:val="default"/>
    <w:sig w:usb0="00000000" w:usb1="00000000" w:usb2="00000016" w:usb3="00000000" w:csb0="0004000F" w:csb1="00000000"/>
  </w:font>
  <w:font w:name="华文中宋">
    <w:altName w:val="汉仪中宋简"/>
    <w:panose1 w:val="02010600040101010101"/>
    <w:charset w:val="86"/>
    <w:family w:val="auto"/>
    <w:pitch w:val="default"/>
    <w:sig w:usb0="00000000" w:usb1="00000000" w:usb2="00000000" w:usb3="00000000" w:csb0="0004009F" w:csb1="DFD70000"/>
  </w:font>
  <w:font w:name="方正小标宋简体">
    <w:panose1 w:val="03000509000000000000"/>
    <w:charset w:val="86"/>
    <w:family w:val="script"/>
    <w:pitch w:val="default"/>
    <w:sig w:usb0="00000001" w:usb1="080E0000" w:usb2="00000000" w:usb3="00000000" w:csb0="00040000" w:csb1="00000000"/>
  </w:font>
  <w:font w:name="楷体_GB2312">
    <w:altName w:val="方正楷体_GBK"/>
    <w:panose1 w:val="02010609030101010101"/>
    <w:charset w:val="86"/>
    <w:family w:val="modern"/>
    <w:pitch w:val="default"/>
    <w:sig w:usb0="00000000" w:usb1="00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仿宋">
    <w:altName w:val="方正仿宋_GBK"/>
    <w:panose1 w:val="02010609060101010101"/>
    <w:charset w:val="86"/>
    <w:family w:val="modern"/>
    <w:pitch w:val="default"/>
    <w:sig w:usb0="00000000" w:usb1="00000000" w:usb2="00000016" w:usb3="00000000" w:csb0="00040001" w:csb1="00000000"/>
  </w:font>
  <w:font w:name="方正仿宋简体">
    <w:altName w:val="方正仿宋_GBK"/>
    <w:panose1 w:val="02010601030101010101"/>
    <w:charset w:val="86"/>
    <w:family w:val="script"/>
    <w:pitch w:val="default"/>
    <w:sig w:usb0="00000000" w:usb1="00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汉仪中宋简">
    <w:panose1 w:val="02010600000101010101"/>
    <w:charset w:val="86"/>
    <w:family w:val="auto"/>
    <w:pitch w:val="default"/>
    <w:sig w:usb0="00000001" w:usb1="080E0800" w:usb2="00000002" w:usb3="00000000" w:csb0="00040000" w:csb1="00000000"/>
  </w:font>
  <w:font w:name="方正楷体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华文仿宋">
    <w:panose1 w:val="02010600040101010101"/>
    <w:charset w:val="86"/>
    <w:family w:val="auto"/>
    <w:pitch w:val="default"/>
    <w:sig w:usb0="00000287" w:usb1="080F0000" w:usb2="00000000" w:usb3="00000000" w:csb0="0004009F" w:csb1="DFD70000"/>
  </w:font>
  <w:font w:name="方正仿宋_GBK">
    <w:panose1 w:val="03000509000000000000"/>
    <w:charset w:val="86"/>
    <w:family w:val="auto"/>
    <w:pitch w:val="default"/>
    <w:sig w:usb0="00000001" w:usb1="080E0000" w:usb2="00000000" w:usb3="00000000" w:csb0="00040000" w:csb1="00000000"/>
  </w:font>
  <w:font w:name="方正宋体S-超大字符集(SIP)">
    <w:panose1 w:val="03000509000000000000"/>
    <w:charset w:val="86"/>
    <w:family w:val="auto"/>
    <w:pitch w:val="default"/>
    <w:sig w:usb0="00000003" w:usb1="0A0E08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fldChar w:fldCharType="begin"/>
    </w:r>
    <w:r>
      <w:instrText xml:space="preserve">PAGE   \* MERGEFORMAT</w:instrText>
    </w:r>
    <w:r>
      <w:fldChar w:fldCharType="separate"/>
    </w:r>
    <w:r>
      <w:rPr>
        <w:lang w:val="zh-CN"/>
      </w:rPr>
      <w:t>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right="640"/>
      <w:rPr>
        <w:rFonts w:hint="eastAsia" w:ascii="仿宋_GB2312" w:eastAsia="仿宋_GB2312"/>
        <w:sz w:val="10"/>
        <w:szCs w:val="10"/>
      </w:rPr>
    </w:pPr>
    <w:r>
      <w:rPr>
        <w:rFonts w:hint="eastAsia" w:ascii="仿宋_GB2312" w:eastAsia="仿宋_GB2312"/>
        <w:sz w:val="10"/>
        <w:szCs w:val="10"/>
      </w:rPr>
      <mc:AlternateContent>
        <mc:Choice Requires="wps">
          <w:drawing>
            <wp:anchor distT="0" distB="0" distL="114300" distR="114300" simplePos="0" relativeHeight="251660288" behindDoc="0" locked="0" layoutInCell="1" allowOverlap="1">
              <wp:simplePos x="0" y="0"/>
              <wp:positionH relativeFrom="column">
                <wp:posOffset>4457700</wp:posOffset>
              </wp:positionH>
              <wp:positionV relativeFrom="page">
                <wp:posOffset>9792970</wp:posOffset>
              </wp:positionV>
              <wp:extent cx="914400" cy="292735"/>
              <wp:effectExtent l="4445" t="4445" r="14605" b="7620"/>
              <wp:wrapNone/>
              <wp:docPr id="4" name="文本框 4"/>
              <wp:cNvGraphicFramePr/>
              <a:graphic xmlns:a="http://schemas.openxmlformats.org/drawingml/2006/main">
                <a:graphicData uri="http://schemas.microsoft.com/office/word/2010/wordprocessingShape">
                  <wps:wsp>
                    <wps:cNvSpPr txBox="true"/>
                    <wps:spPr>
                      <a:xfrm>
                        <a:off x="0" y="0"/>
                        <a:ext cx="914400" cy="292735"/>
                      </a:xfrm>
                      <a:prstGeom prst="rect">
                        <a:avLst/>
                      </a:prstGeom>
                      <a:noFill/>
                      <a:ln w="3175" cap="flat" cmpd="sng">
                        <a:solidFill>
                          <a:srgbClr val="FFFFFF"/>
                        </a:solidFill>
                        <a:prstDash val="solid"/>
                        <a:miter/>
                        <a:headEnd type="none" w="med" len="med"/>
                        <a:tailEnd type="none" w="med" len="med"/>
                      </a:ln>
                    </wps:spPr>
                    <wps:txbx>
                      <w:txbxContent>
                        <w:p>
                          <w:pPr>
                            <w:rPr>
                              <w:rFonts w:hint="eastAsia"/>
                              <w:sz w:val="28"/>
                              <w:szCs w:val="28"/>
                            </w:rPr>
                          </w:pPr>
                          <w:r>
                            <w:rPr>
                              <w:rStyle w:val="8"/>
                              <w:rFonts w:hint="eastAsia"/>
                              <w:sz w:val="28"/>
                              <w:szCs w:val="28"/>
                            </w:rPr>
                            <w:t xml:space="preserve">— </w:t>
                          </w:r>
                          <w:r>
                            <w:rPr>
                              <w:rStyle w:val="8"/>
                              <w:sz w:val="28"/>
                              <w:szCs w:val="28"/>
                            </w:rPr>
                            <w:fldChar w:fldCharType="begin"/>
                          </w:r>
                          <w:r>
                            <w:rPr>
                              <w:rStyle w:val="8"/>
                              <w:sz w:val="28"/>
                              <w:szCs w:val="28"/>
                            </w:rPr>
                            <w:instrText xml:space="preserve"> PAGE </w:instrText>
                          </w:r>
                          <w:r>
                            <w:rPr>
                              <w:rStyle w:val="8"/>
                              <w:sz w:val="28"/>
                              <w:szCs w:val="28"/>
                            </w:rPr>
                            <w:fldChar w:fldCharType="separate"/>
                          </w:r>
                          <w:r>
                            <w:rPr>
                              <w:rStyle w:val="8"/>
                              <w:sz w:val="28"/>
                              <w:szCs w:val="28"/>
                            </w:rPr>
                            <w:t>27</w:t>
                          </w:r>
                          <w:r>
                            <w:rPr>
                              <w:rStyle w:val="8"/>
                              <w:sz w:val="28"/>
                              <w:szCs w:val="28"/>
                            </w:rPr>
                            <w:fldChar w:fldCharType="end"/>
                          </w:r>
                          <w:r>
                            <w:rPr>
                              <w:rStyle w:val="8"/>
                              <w:rFonts w:hint="eastAsia"/>
                              <w:sz w:val="28"/>
                              <w:szCs w:val="28"/>
                            </w:rPr>
                            <w:t xml:space="preserve"> —</w:t>
                          </w:r>
                        </w:p>
                      </w:txbxContent>
                    </wps:txbx>
                    <wps:bodyPr upright="true"/>
                  </wps:wsp>
                </a:graphicData>
              </a:graphic>
            </wp:anchor>
          </w:drawing>
        </mc:Choice>
        <mc:Fallback>
          <w:pict>
            <v:shape id="_x0000_s1026" o:spid="_x0000_s1026" o:spt="202" type="#_x0000_t202" style="position:absolute;left:0pt;margin-left:351pt;margin-top:771.1pt;height:23.05pt;width:72pt;mso-position-vertical-relative:page;z-index:251660288;mso-width-relative:page;mso-height-relative:page;" filled="f" stroked="t" coordsize="21600,21600" o:gfxdata="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&#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BYAAABkcnMvUEsBAhQAFAAAAAgAh07iQEiwtSTaAAAADQEAAA8AAAAAAAAAAQAgAAAAOAAAAGRy&#10;cy9kb3ducmV2LnhtbFBLAQIUABQAAAAIAIdO4kCa2FYi7QEAAMQDAAAOAAAAAAAAAAEAIAAAAD8B&#10;AABkcnMvZTJvRG9jLnhtbFBLBQYAAAAABgAGAFkBAACeBQAAAAA=&#10;">
              <v:fill on="f" focussize="0,0"/>
              <v:stroke weight="0.25pt" color="#FFFFFF" joinstyle="miter"/>
              <v:imagedata o:title=""/>
              <o:lock v:ext="edit" aspectratio="f"/>
              <v:textbox>
                <w:txbxContent>
                  <w:p>
                    <w:pPr>
                      <w:rPr>
                        <w:rFonts w:hint="eastAsia"/>
                        <w:sz w:val="28"/>
                        <w:szCs w:val="28"/>
                      </w:rPr>
                    </w:pPr>
                    <w:r>
                      <w:rPr>
                        <w:rStyle w:val="8"/>
                        <w:rFonts w:hint="eastAsia"/>
                        <w:sz w:val="28"/>
                        <w:szCs w:val="28"/>
                      </w:rPr>
                      <w:t xml:space="preserve">— </w:t>
                    </w:r>
                    <w:r>
                      <w:rPr>
                        <w:rStyle w:val="8"/>
                        <w:sz w:val="28"/>
                        <w:szCs w:val="28"/>
                      </w:rPr>
                      <w:fldChar w:fldCharType="begin"/>
                    </w:r>
                    <w:r>
                      <w:rPr>
                        <w:rStyle w:val="8"/>
                        <w:sz w:val="28"/>
                        <w:szCs w:val="28"/>
                      </w:rPr>
                      <w:instrText xml:space="preserve"> PAGE </w:instrText>
                    </w:r>
                    <w:r>
                      <w:rPr>
                        <w:rStyle w:val="8"/>
                        <w:sz w:val="28"/>
                        <w:szCs w:val="28"/>
                      </w:rPr>
                      <w:fldChar w:fldCharType="separate"/>
                    </w:r>
                    <w:r>
                      <w:rPr>
                        <w:rStyle w:val="8"/>
                        <w:sz w:val="28"/>
                        <w:szCs w:val="28"/>
                      </w:rPr>
                      <w:t>27</w:t>
                    </w:r>
                    <w:r>
                      <w:rPr>
                        <w:rStyle w:val="8"/>
                        <w:sz w:val="28"/>
                        <w:szCs w:val="28"/>
                      </w:rPr>
                      <w:fldChar w:fldCharType="end"/>
                    </w:r>
                    <w:r>
                      <w:rPr>
                        <w:rStyle w:val="8"/>
                        <w:rFonts w:hint="eastAsia"/>
                        <w:sz w:val="28"/>
                        <w:szCs w:val="28"/>
                      </w:rP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column">
                <wp:posOffset>107950</wp:posOffset>
              </wp:positionH>
              <wp:positionV relativeFrom="page">
                <wp:posOffset>9792970</wp:posOffset>
              </wp:positionV>
              <wp:extent cx="914400" cy="292735"/>
              <wp:effectExtent l="4445" t="4445" r="14605" b="7620"/>
              <wp:wrapNone/>
              <wp:docPr id="5" name="文本框 5"/>
              <wp:cNvGraphicFramePr/>
              <a:graphic xmlns:a="http://schemas.openxmlformats.org/drawingml/2006/main">
                <a:graphicData uri="http://schemas.microsoft.com/office/word/2010/wordprocessingShape">
                  <wps:wsp>
                    <wps:cNvSpPr txBox="true"/>
                    <wps:spPr>
                      <a:xfrm>
                        <a:off x="0" y="0"/>
                        <a:ext cx="914400" cy="292735"/>
                      </a:xfrm>
                      <a:prstGeom prst="rect">
                        <a:avLst/>
                      </a:prstGeom>
                      <a:noFill/>
                      <a:ln w="3175" cap="flat" cmpd="sng">
                        <a:solidFill>
                          <a:srgbClr val="FFFFFF"/>
                        </a:solidFill>
                        <a:prstDash val="solid"/>
                        <a:miter/>
                        <a:headEnd type="none" w="med" len="med"/>
                        <a:tailEnd type="none" w="med" len="med"/>
                      </a:ln>
                    </wps:spPr>
                    <wps:txbx>
                      <w:txbxContent>
                        <w:p>
                          <w:pPr>
                            <w:rPr>
                              <w:rFonts w:hint="eastAsia"/>
                              <w:sz w:val="28"/>
                              <w:szCs w:val="28"/>
                            </w:rPr>
                          </w:pPr>
                          <w:r>
                            <w:rPr>
                              <w:rStyle w:val="8"/>
                              <w:rFonts w:hint="eastAsia"/>
                              <w:sz w:val="28"/>
                              <w:szCs w:val="28"/>
                            </w:rPr>
                            <w:t xml:space="preserve">— </w:t>
                          </w:r>
                          <w:r>
                            <w:rPr>
                              <w:rStyle w:val="8"/>
                              <w:sz w:val="28"/>
                              <w:szCs w:val="28"/>
                            </w:rPr>
                            <w:fldChar w:fldCharType="begin"/>
                          </w:r>
                          <w:r>
                            <w:rPr>
                              <w:rStyle w:val="8"/>
                              <w:sz w:val="28"/>
                              <w:szCs w:val="28"/>
                            </w:rPr>
                            <w:instrText xml:space="preserve"> PAGE </w:instrText>
                          </w:r>
                          <w:r>
                            <w:rPr>
                              <w:rStyle w:val="8"/>
                              <w:sz w:val="28"/>
                              <w:szCs w:val="28"/>
                            </w:rPr>
                            <w:fldChar w:fldCharType="separate"/>
                          </w:r>
                          <w:r>
                            <w:rPr>
                              <w:rStyle w:val="8"/>
                              <w:sz w:val="28"/>
                              <w:szCs w:val="28"/>
                            </w:rPr>
                            <w:t>26</w:t>
                          </w:r>
                          <w:r>
                            <w:rPr>
                              <w:rStyle w:val="8"/>
                              <w:sz w:val="28"/>
                              <w:szCs w:val="28"/>
                            </w:rPr>
                            <w:fldChar w:fldCharType="end"/>
                          </w:r>
                          <w:r>
                            <w:rPr>
                              <w:rStyle w:val="8"/>
                              <w:rFonts w:hint="eastAsia"/>
                              <w:sz w:val="28"/>
                              <w:szCs w:val="28"/>
                            </w:rPr>
                            <w:t xml:space="preserve"> —</w:t>
                          </w:r>
                        </w:p>
                      </w:txbxContent>
                    </wps:txbx>
                    <wps:bodyPr upright="true"/>
                  </wps:wsp>
                </a:graphicData>
              </a:graphic>
            </wp:anchor>
          </w:drawing>
        </mc:Choice>
        <mc:Fallback>
          <w:pict>
            <v:shape id="_x0000_s1026" o:spid="_x0000_s1026" o:spt="202" type="#_x0000_t202" style="position:absolute;left:0pt;margin-left:8.5pt;margin-top:771.1pt;height:23.05pt;width:72pt;mso-position-vertical-relative:page;z-index:251659264;mso-width-relative:page;mso-height-relative:page;" filled="f" stroked="t" coordsize="21600,21600" o:gfxdata="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FgAAAGRycy9QSwECFAAUAAAACACHTuJANaxVbtYAAAAMAQAADwAAAAAAAAABACAAAAA4AAAAZHJz&#10;L2Rvd25yZXYueG1sUEsBAhQAFAAAAAgAh07iQECxkbbwAQAAxAMAAA4AAAAAAAAAAQAgAAAAOwEA&#10;AGRycy9lMm9Eb2MueG1sUEsFBgAAAAAGAAYAWQEAAJ0FAAAAAA==&#10;">
              <v:fill on="f" focussize="0,0"/>
              <v:stroke weight="0.25pt" color="#FFFFFF" joinstyle="miter"/>
              <v:imagedata o:title=""/>
              <o:lock v:ext="edit" aspectratio="f"/>
              <v:textbox>
                <w:txbxContent>
                  <w:p>
                    <w:pPr>
                      <w:rPr>
                        <w:rFonts w:hint="eastAsia"/>
                        <w:sz w:val="28"/>
                        <w:szCs w:val="28"/>
                      </w:rPr>
                    </w:pPr>
                    <w:r>
                      <w:rPr>
                        <w:rStyle w:val="8"/>
                        <w:rFonts w:hint="eastAsia"/>
                        <w:sz w:val="28"/>
                        <w:szCs w:val="28"/>
                      </w:rPr>
                      <w:t xml:space="preserve">— </w:t>
                    </w:r>
                    <w:r>
                      <w:rPr>
                        <w:rStyle w:val="8"/>
                        <w:sz w:val="28"/>
                        <w:szCs w:val="28"/>
                      </w:rPr>
                      <w:fldChar w:fldCharType="begin"/>
                    </w:r>
                    <w:r>
                      <w:rPr>
                        <w:rStyle w:val="8"/>
                        <w:sz w:val="28"/>
                        <w:szCs w:val="28"/>
                      </w:rPr>
                      <w:instrText xml:space="preserve"> PAGE </w:instrText>
                    </w:r>
                    <w:r>
                      <w:rPr>
                        <w:rStyle w:val="8"/>
                        <w:sz w:val="28"/>
                        <w:szCs w:val="28"/>
                      </w:rPr>
                      <w:fldChar w:fldCharType="separate"/>
                    </w:r>
                    <w:r>
                      <w:rPr>
                        <w:rStyle w:val="8"/>
                        <w:sz w:val="28"/>
                        <w:szCs w:val="28"/>
                      </w:rPr>
                      <w:t>26</w:t>
                    </w:r>
                    <w:r>
                      <w:rPr>
                        <w:rStyle w:val="8"/>
                        <w:sz w:val="28"/>
                        <w:szCs w:val="28"/>
                      </w:rPr>
                      <w:fldChar w:fldCharType="end"/>
                    </w:r>
                    <w:r>
                      <w:rPr>
                        <w:rStyle w:val="8"/>
                        <w:rFonts w:hint="eastAsia"/>
                        <w:sz w:val="28"/>
                        <w:szCs w:val="28"/>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right"/>
      <w:rPr>
        <w:rFonts w:hint="eastAsia" w:ascii="仿宋_GB2312" w:eastAsia="仿宋_GB2312"/>
        <w:sz w:val="32"/>
        <w:szCs w:val="32"/>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765051"/>
    <w:rsid w:val="03FF4FF1"/>
    <w:rsid w:val="060158DB"/>
    <w:rsid w:val="07351DE9"/>
    <w:rsid w:val="08A07782"/>
    <w:rsid w:val="08CC2655"/>
    <w:rsid w:val="099358B1"/>
    <w:rsid w:val="09B201BD"/>
    <w:rsid w:val="09F410FD"/>
    <w:rsid w:val="0A79472F"/>
    <w:rsid w:val="0C1E1C93"/>
    <w:rsid w:val="0C4C1042"/>
    <w:rsid w:val="0DD979BE"/>
    <w:rsid w:val="0DDA54E4"/>
    <w:rsid w:val="0EB02A70"/>
    <w:rsid w:val="0F1E26A9"/>
    <w:rsid w:val="0FC1695C"/>
    <w:rsid w:val="105477D0"/>
    <w:rsid w:val="12C0739F"/>
    <w:rsid w:val="14011A1D"/>
    <w:rsid w:val="156F6E5A"/>
    <w:rsid w:val="15D70354"/>
    <w:rsid w:val="1863338A"/>
    <w:rsid w:val="19B05521"/>
    <w:rsid w:val="1D0E6F59"/>
    <w:rsid w:val="1D2D73DF"/>
    <w:rsid w:val="1ED43614"/>
    <w:rsid w:val="1FCB7383"/>
    <w:rsid w:val="20E623CF"/>
    <w:rsid w:val="214B2529"/>
    <w:rsid w:val="217D46AD"/>
    <w:rsid w:val="246C0C12"/>
    <w:rsid w:val="248D2E59"/>
    <w:rsid w:val="251D7F69"/>
    <w:rsid w:val="25505B53"/>
    <w:rsid w:val="25D00ACF"/>
    <w:rsid w:val="25D30D3F"/>
    <w:rsid w:val="25DF7FAA"/>
    <w:rsid w:val="26BE3B95"/>
    <w:rsid w:val="28765284"/>
    <w:rsid w:val="295F078B"/>
    <w:rsid w:val="29AF73CD"/>
    <w:rsid w:val="2B032EB6"/>
    <w:rsid w:val="2D211B9E"/>
    <w:rsid w:val="2D26488F"/>
    <w:rsid w:val="305C369C"/>
    <w:rsid w:val="30693FE1"/>
    <w:rsid w:val="30C315A0"/>
    <w:rsid w:val="30F878AC"/>
    <w:rsid w:val="31B639EF"/>
    <w:rsid w:val="32815E15"/>
    <w:rsid w:val="34370449"/>
    <w:rsid w:val="35357321"/>
    <w:rsid w:val="365E153E"/>
    <w:rsid w:val="382556DE"/>
    <w:rsid w:val="39C15B2A"/>
    <w:rsid w:val="3B143534"/>
    <w:rsid w:val="3BC66F24"/>
    <w:rsid w:val="3E8D1F7B"/>
    <w:rsid w:val="400C6ED0"/>
    <w:rsid w:val="4114603C"/>
    <w:rsid w:val="416C01C0"/>
    <w:rsid w:val="434075BC"/>
    <w:rsid w:val="47431429"/>
    <w:rsid w:val="4746716B"/>
    <w:rsid w:val="48A24875"/>
    <w:rsid w:val="4A450EE8"/>
    <w:rsid w:val="4A6B30D2"/>
    <w:rsid w:val="4A7F4E6E"/>
    <w:rsid w:val="4A9D62EE"/>
    <w:rsid w:val="4AF073C2"/>
    <w:rsid w:val="4B60543F"/>
    <w:rsid w:val="4BC20C0E"/>
    <w:rsid w:val="4D770568"/>
    <w:rsid w:val="4E437F61"/>
    <w:rsid w:val="4EDD183F"/>
    <w:rsid w:val="50DA3711"/>
    <w:rsid w:val="53C9715A"/>
    <w:rsid w:val="55784704"/>
    <w:rsid w:val="56706FF4"/>
    <w:rsid w:val="56C47511"/>
    <w:rsid w:val="57635E8E"/>
    <w:rsid w:val="578C19E6"/>
    <w:rsid w:val="5C98797B"/>
    <w:rsid w:val="5D6B74D4"/>
    <w:rsid w:val="5E601A60"/>
    <w:rsid w:val="611428B7"/>
    <w:rsid w:val="61E9687C"/>
    <w:rsid w:val="61F01D56"/>
    <w:rsid w:val="644E11B6"/>
    <w:rsid w:val="65B37C6A"/>
    <w:rsid w:val="65E73470"/>
    <w:rsid w:val="666E3963"/>
    <w:rsid w:val="686B482C"/>
    <w:rsid w:val="69BB0E9B"/>
    <w:rsid w:val="69C73CE4"/>
    <w:rsid w:val="6ACF31F2"/>
    <w:rsid w:val="6AFACCB4"/>
    <w:rsid w:val="6C7A1DCE"/>
    <w:rsid w:val="6E8C2E06"/>
    <w:rsid w:val="6F9603E0"/>
    <w:rsid w:val="728704B4"/>
    <w:rsid w:val="75372475"/>
    <w:rsid w:val="75564E94"/>
    <w:rsid w:val="75962E64"/>
    <w:rsid w:val="75BC4A71"/>
    <w:rsid w:val="77253DF8"/>
    <w:rsid w:val="79E65556"/>
    <w:rsid w:val="7A215327"/>
    <w:rsid w:val="7BDC717B"/>
    <w:rsid w:val="7D0651D8"/>
    <w:rsid w:val="7E3625AC"/>
    <w:rsid w:val="7E4A1FB0"/>
    <w:rsid w:val="7E7F10F3"/>
    <w:rsid w:val="7EAF0B77"/>
    <w:rsid w:val="7F7100A7"/>
    <w:rsid w:val="7F805D38"/>
    <w:rsid w:val="87F31850"/>
    <w:rsid w:val="CFBFA541"/>
    <w:rsid w:val="DBB91965"/>
    <w:rsid w:val="EFD5230F"/>
    <w:rsid w:val="FFFB22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9"/>
    <w:pPr>
      <w:keepNext/>
      <w:keepLines/>
      <w:spacing w:before="340" w:after="330" w:line="578" w:lineRule="auto"/>
      <w:outlineLvl w:val="0"/>
    </w:pPr>
    <w:rPr>
      <w:rFonts w:ascii="等线" w:hAnsi="等线" w:eastAsia="等线"/>
      <w:b/>
      <w:bCs/>
      <w:kern w:val="44"/>
      <w:sz w:val="44"/>
      <w:szCs w:val="44"/>
    </w:rPr>
  </w:style>
  <w:style w:type="paragraph" w:styleId="4">
    <w:name w:val="heading 2"/>
    <w:basedOn w:val="1"/>
    <w:next w:val="1"/>
    <w:unhideWhenUsed/>
    <w:qFormat/>
    <w:uiPriority w:val="9"/>
    <w:pPr>
      <w:keepNext/>
      <w:keepLines/>
      <w:spacing w:before="260" w:after="260" w:line="416" w:lineRule="auto"/>
      <w:outlineLvl w:val="1"/>
    </w:pPr>
    <w:rPr>
      <w:rFonts w:ascii="等线 Light" w:hAnsi="等线 Light" w:eastAsia="等线 Light"/>
      <w:b/>
      <w:bCs/>
      <w:sz w:val="32"/>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99"/>
    <w:pPr>
      <w:spacing w:after="120"/>
    </w:pPr>
  </w:style>
  <w:style w:type="paragraph" w:styleId="5">
    <w:name w:val="footer"/>
    <w:basedOn w:val="1"/>
    <w:qFormat/>
    <w:uiPriority w:val="99"/>
    <w:pPr>
      <w:tabs>
        <w:tab w:val="center" w:pos="4153"/>
        <w:tab w:val="right" w:pos="8306"/>
      </w:tabs>
      <w:snapToGrid w:val="0"/>
      <w:jc w:val="left"/>
    </w:pPr>
    <w:rPr>
      <w:sz w:val="18"/>
      <w:szCs w:val="18"/>
    </w:rPr>
  </w:style>
  <w:style w:type="character" w:styleId="8">
    <w:name w:val="page number"/>
    <w:qFormat/>
    <w:uiPriority w:val="0"/>
  </w:style>
  <w:style w:type="character" w:styleId="9">
    <w:name w:val="Hyperlink"/>
    <w:unhideWhenUsed/>
    <w:qFormat/>
    <w:uiPriority w:val="99"/>
    <w:rPr>
      <w:color w:val="0563C1"/>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4.png"/><Relationship Id="rId10" Type="http://schemas.openxmlformats.org/officeDocument/2006/relationships/image" Target="media/image3.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59</TotalTime>
  <ScaleCrop>false</ScaleCrop>
  <LinksUpToDate>false</LinksUpToDate>
  <CharactersWithSpaces>0</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2021-11-12T17:28:00Z</dcterms:created>
  <dc:creator>zhk</dc:creator>
  <cp:lastModifiedBy>user</cp:lastModifiedBy>
  <cp:lastPrinted>2021-11-17T01:31:00Z</cp:lastPrinted>
  <dcterms:modified xsi:type="dcterms:W3CDTF">2024-11-28T10:02:49Z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y fmtid="{D5CDD505-2E9C-101B-9397-08002B2CF9AE}" pid="3" name="ICV">
    <vt:lpwstr>B9D491E53AF7457E9933B58F3DF151AF</vt:lpwstr>
  </property>
</Properties>
</file>